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1308" w14:textId="370A7967" w:rsidR="000345DC" w:rsidRPr="00480F68" w:rsidRDefault="00F45BB6" w:rsidP="00480F68">
      <w:pPr>
        <w:spacing w:after="240"/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Analysis of e</w:t>
      </w:r>
      <w:r w:rsidR="00051206" w:rsidRPr="00480F68">
        <w:rPr>
          <w:b/>
          <w:bCs/>
          <w:sz w:val="28"/>
          <w:lang w:val="en-GB"/>
        </w:rPr>
        <w:t xml:space="preserve">nabling </w:t>
      </w:r>
      <w:r>
        <w:rPr>
          <w:b/>
          <w:bCs/>
          <w:sz w:val="28"/>
          <w:lang w:val="en-GB"/>
        </w:rPr>
        <w:t>c</w:t>
      </w:r>
      <w:r w:rsidR="00051206" w:rsidRPr="00480F68">
        <w:rPr>
          <w:b/>
          <w:bCs/>
          <w:sz w:val="28"/>
          <w:lang w:val="en-GB"/>
        </w:rPr>
        <w:t>onditions</w:t>
      </w:r>
      <w:r w:rsidR="00480F68">
        <w:rPr>
          <w:b/>
          <w:bCs/>
          <w:sz w:val="28"/>
          <w:lang w:val="en-GB"/>
        </w:rPr>
        <w:t xml:space="preserve"> for </w:t>
      </w:r>
      <w:r w:rsidR="00480F68" w:rsidRPr="00480F68">
        <w:rPr>
          <w:b/>
          <w:bCs/>
          <w:sz w:val="28"/>
          <w:shd w:val="clear" w:color="auto" w:fill="E7E6E6" w:themeFill="background2"/>
          <w:lang w:val="en-GB"/>
        </w:rPr>
        <w:t>[name of city/country]</w:t>
      </w:r>
    </w:p>
    <w:p w14:paraId="3DCFF911" w14:textId="22208B12" w:rsidR="00503372" w:rsidRPr="00503372" w:rsidRDefault="00C80B53" w:rsidP="008237D6">
      <w:pPr>
        <w:rPr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59264" behindDoc="1" locked="0" layoutInCell="1" allowOverlap="1" wp14:anchorId="1D21BBD4" wp14:editId="388AD5F8">
            <wp:simplePos x="0" y="0"/>
            <wp:positionH relativeFrom="column">
              <wp:posOffset>5595620</wp:posOffset>
            </wp:positionH>
            <wp:positionV relativeFrom="paragraph">
              <wp:posOffset>127829</wp:posOffset>
            </wp:positionV>
            <wp:extent cx="6026785" cy="605409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605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4269" w:type="dxa"/>
        <w:tblLook w:val="04A0" w:firstRow="1" w:lastRow="0" w:firstColumn="1" w:lastColumn="0" w:noHBand="0" w:noVBand="1"/>
      </w:tblPr>
      <w:tblGrid>
        <w:gridCol w:w="4811"/>
        <w:gridCol w:w="2697"/>
        <w:gridCol w:w="3119"/>
        <w:gridCol w:w="3642"/>
      </w:tblGrid>
      <w:tr w:rsidR="00503372" w:rsidRPr="00C80B53" w14:paraId="0D0F6F31" w14:textId="77777777" w:rsidTr="00503372">
        <w:trPr>
          <w:trHeight w:val="795"/>
        </w:trPr>
        <w:tc>
          <w:tcPr>
            <w:tcW w:w="4811" w:type="dxa"/>
            <w:noWrap/>
            <w:hideMark/>
          </w:tcPr>
          <w:p w14:paraId="6E92CEE0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2697" w:type="dxa"/>
            <w:hideMark/>
          </w:tcPr>
          <w:p w14:paraId="107CB7B8" w14:textId="0A510794" w:rsidR="00503372" w:rsidRDefault="00306F50" w:rsidP="00F867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Overall a</w:t>
            </w:r>
            <w:r w:rsidR="00503372" w:rsidRPr="00DC41AB">
              <w:rPr>
                <w:b/>
                <w:lang w:val="en-GB"/>
              </w:rPr>
              <w:t>ssessment</w:t>
            </w:r>
            <w:r>
              <w:rPr>
                <w:b/>
                <w:lang w:val="en-GB"/>
              </w:rPr>
              <w:t xml:space="preserve"> of current condition</w:t>
            </w:r>
          </w:p>
          <w:p w14:paraId="11174F14" w14:textId="266AC92C" w:rsidR="00306F50" w:rsidRPr="00306F50" w:rsidRDefault="00306F50" w:rsidP="00F86741">
            <w:pPr>
              <w:rPr>
                <w:lang w:val="en-GB"/>
              </w:rPr>
            </w:pPr>
            <w:r w:rsidRPr="00306F50">
              <w:rPr>
                <w:lang w:val="en-GB"/>
              </w:rPr>
              <w:t xml:space="preserve">(poor, satisfactory, good, </w:t>
            </w:r>
            <w:r w:rsidR="00BA10B5">
              <w:rPr>
                <w:lang w:val="en-GB"/>
              </w:rPr>
              <w:t>very good</w:t>
            </w:r>
            <w:r w:rsidRPr="00306F50">
              <w:rPr>
                <w:lang w:val="en-GB"/>
              </w:rPr>
              <w:t>)</w:t>
            </w:r>
          </w:p>
        </w:tc>
        <w:tc>
          <w:tcPr>
            <w:tcW w:w="3119" w:type="dxa"/>
            <w:hideMark/>
          </w:tcPr>
          <w:p w14:paraId="464174BA" w14:textId="4DC88EF1" w:rsidR="00503372" w:rsidRPr="00DC41AB" w:rsidRDefault="00503372" w:rsidP="00F86741">
            <w:pPr>
              <w:rPr>
                <w:b/>
                <w:lang w:val="en-GB"/>
              </w:rPr>
            </w:pPr>
            <w:r w:rsidRPr="00DC41AB">
              <w:rPr>
                <w:b/>
                <w:lang w:val="en-GB"/>
              </w:rPr>
              <w:t>Gaps and challenges in your city / country</w:t>
            </w:r>
          </w:p>
        </w:tc>
        <w:tc>
          <w:tcPr>
            <w:tcW w:w="3642" w:type="dxa"/>
            <w:hideMark/>
          </w:tcPr>
          <w:p w14:paraId="5827E1D4" w14:textId="77777777" w:rsidR="00503372" w:rsidRPr="00DC41AB" w:rsidRDefault="00503372" w:rsidP="00F86741">
            <w:pPr>
              <w:rPr>
                <w:b/>
                <w:lang w:val="en-GB"/>
              </w:rPr>
            </w:pPr>
            <w:r w:rsidRPr="00DC41AB">
              <w:rPr>
                <w:b/>
                <w:lang w:val="en-GB"/>
              </w:rPr>
              <w:t>Options for actions to overcome the gaps/challenges</w:t>
            </w:r>
          </w:p>
        </w:tc>
      </w:tr>
      <w:tr w:rsidR="00503372" w:rsidRPr="00503372" w14:paraId="3CF2409D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242950DE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Constitutional Framework</w:t>
            </w:r>
          </w:p>
        </w:tc>
        <w:tc>
          <w:tcPr>
            <w:tcW w:w="2697" w:type="dxa"/>
            <w:noWrap/>
            <w:hideMark/>
          </w:tcPr>
          <w:p w14:paraId="6010129D" w14:textId="5AF97395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3A6F330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16CC76B2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64E88C3E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34A5987C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Legislative Framework</w:t>
            </w:r>
          </w:p>
        </w:tc>
        <w:tc>
          <w:tcPr>
            <w:tcW w:w="2697" w:type="dxa"/>
            <w:noWrap/>
            <w:hideMark/>
          </w:tcPr>
          <w:p w14:paraId="4FD79188" w14:textId="0D3AA7A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BF6E8FF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6A554943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7BF96CCD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48591EDC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Local Democracy</w:t>
            </w:r>
          </w:p>
        </w:tc>
        <w:tc>
          <w:tcPr>
            <w:tcW w:w="2697" w:type="dxa"/>
            <w:noWrap/>
            <w:hideMark/>
          </w:tcPr>
          <w:p w14:paraId="1E01ACD3" w14:textId="42DAADF2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14FD865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2F2D67F2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C80B53" w14:paraId="5E481FC7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2ACFF606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Financial Transfers from Central to Local Government</w:t>
            </w:r>
          </w:p>
        </w:tc>
        <w:tc>
          <w:tcPr>
            <w:tcW w:w="2697" w:type="dxa"/>
            <w:noWrap/>
            <w:hideMark/>
          </w:tcPr>
          <w:p w14:paraId="071E2045" w14:textId="31A5C453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29C8B39C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139F3886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36EFCB81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0FF810DA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Local Governments Own Revenue</w:t>
            </w:r>
          </w:p>
        </w:tc>
        <w:tc>
          <w:tcPr>
            <w:tcW w:w="2697" w:type="dxa"/>
            <w:noWrap/>
            <w:hideMark/>
          </w:tcPr>
          <w:p w14:paraId="3AAB42D4" w14:textId="78BD6F30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572F8B5E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56027282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C80B53" w14:paraId="6A7DB636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285EEB62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Capacity Building of Local Government Administration</w:t>
            </w:r>
          </w:p>
        </w:tc>
        <w:tc>
          <w:tcPr>
            <w:tcW w:w="2697" w:type="dxa"/>
            <w:noWrap/>
            <w:hideMark/>
          </w:tcPr>
          <w:p w14:paraId="5C78C812" w14:textId="1B1EBC7B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20A04098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3EDAC9D5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5846569C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73C41A8B" w14:textId="6FA3EF91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Transparency</w:t>
            </w:r>
          </w:p>
        </w:tc>
        <w:tc>
          <w:tcPr>
            <w:tcW w:w="2697" w:type="dxa"/>
            <w:noWrap/>
            <w:hideMark/>
          </w:tcPr>
          <w:p w14:paraId="453B3A09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0C2E48B5" w14:textId="2955F7DC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66A80EA2" w14:textId="60362859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3DFFE903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1D757EE2" w14:textId="19996892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Citizen Participation</w:t>
            </w:r>
          </w:p>
        </w:tc>
        <w:tc>
          <w:tcPr>
            <w:tcW w:w="2697" w:type="dxa"/>
            <w:noWrap/>
            <w:hideMark/>
          </w:tcPr>
          <w:p w14:paraId="3F916045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7270B70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3FEE8F65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72E3D90C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1D9AF155" w14:textId="0DD36E9A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Local Government Performance</w:t>
            </w:r>
          </w:p>
        </w:tc>
        <w:tc>
          <w:tcPr>
            <w:tcW w:w="2697" w:type="dxa"/>
            <w:noWrap/>
            <w:hideMark/>
          </w:tcPr>
          <w:p w14:paraId="5C290A2A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2D77E79E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6BFD63A0" w14:textId="6CF6687F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633A4965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2A0A9F2A" w14:textId="05E4F368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Urban Strategy</w:t>
            </w:r>
          </w:p>
        </w:tc>
        <w:tc>
          <w:tcPr>
            <w:tcW w:w="2697" w:type="dxa"/>
            <w:noWrap/>
            <w:hideMark/>
          </w:tcPr>
          <w:p w14:paraId="7488E732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31A5A4E" w14:textId="75AB93A2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650746F6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C80B53" w14:paraId="45798EE2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4E1E9576" w14:textId="17074978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Environmental and Climate Change Governance</w:t>
            </w:r>
          </w:p>
        </w:tc>
        <w:tc>
          <w:tcPr>
            <w:tcW w:w="2697" w:type="dxa"/>
            <w:noWrap/>
            <w:hideMark/>
          </w:tcPr>
          <w:p w14:paraId="0658ADAE" w14:textId="7C43BFC1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30BAF93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425B5931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  <w:tr w:rsidR="00503372" w:rsidRPr="00503372" w14:paraId="3126CA8B" w14:textId="77777777" w:rsidTr="00503372">
        <w:trPr>
          <w:trHeight w:val="505"/>
        </w:trPr>
        <w:tc>
          <w:tcPr>
            <w:tcW w:w="4811" w:type="dxa"/>
            <w:noWrap/>
            <w:hideMark/>
          </w:tcPr>
          <w:p w14:paraId="636B4506" w14:textId="77777777" w:rsidR="00503372" w:rsidRPr="00503372" w:rsidRDefault="00503372" w:rsidP="00F86741">
            <w:pPr>
              <w:rPr>
                <w:b/>
                <w:bCs/>
                <w:lang w:val="en-GB"/>
              </w:rPr>
            </w:pPr>
            <w:r w:rsidRPr="00503372">
              <w:rPr>
                <w:b/>
                <w:bCs/>
                <w:lang w:val="en-GB"/>
              </w:rPr>
              <w:t>Monitoring and Reporting</w:t>
            </w:r>
          </w:p>
        </w:tc>
        <w:tc>
          <w:tcPr>
            <w:tcW w:w="2697" w:type="dxa"/>
            <w:noWrap/>
            <w:hideMark/>
          </w:tcPr>
          <w:p w14:paraId="2543D79D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36B3731C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  <w:tc>
          <w:tcPr>
            <w:tcW w:w="3642" w:type="dxa"/>
            <w:noWrap/>
            <w:hideMark/>
          </w:tcPr>
          <w:p w14:paraId="1D53C12E" w14:textId="77777777" w:rsidR="00503372" w:rsidRPr="00503372" w:rsidRDefault="00503372" w:rsidP="00F86741">
            <w:pPr>
              <w:rPr>
                <w:lang w:val="en-GB"/>
              </w:rPr>
            </w:pPr>
            <w:r w:rsidRPr="00503372">
              <w:rPr>
                <w:lang w:val="en-GB"/>
              </w:rPr>
              <w:t> </w:t>
            </w:r>
          </w:p>
        </w:tc>
      </w:tr>
    </w:tbl>
    <w:p w14:paraId="4EA8011E" w14:textId="77777777" w:rsidR="00D94BA0" w:rsidRDefault="00D94BA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614B25B" w14:textId="39745207" w:rsidR="00D94BA0" w:rsidRPr="006C6AFB" w:rsidRDefault="00F45BB6" w:rsidP="009D606D">
      <w:pPr>
        <w:spacing w:before="120"/>
        <w:rPr>
          <w:lang w:val="en-GB"/>
        </w:rPr>
      </w:pPr>
      <w:r>
        <w:rPr>
          <w:lang w:val="en-GB"/>
        </w:rPr>
        <w:lastRenderedPageBreak/>
        <w:t>What are enabling conditions?</w:t>
      </w:r>
    </w:p>
    <w:p w14:paraId="130B3450" w14:textId="0EEA69EE" w:rsidR="00D94BA0" w:rsidRPr="0012383C" w:rsidRDefault="00C80B53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1312" behindDoc="1" locked="0" layoutInCell="1" allowOverlap="1" wp14:anchorId="7F090772" wp14:editId="76C180B2">
            <wp:simplePos x="0" y="0"/>
            <wp:positionH relativeFrom="column">
              <wp:posOffset>5607698</wp:posOffset>
            </wp:positionH>
            <wp:positionV relativeFrom="paragraph">
              <wp:posOffset>317630</wp:posOffset>
            </wp:positionV>
            <wp:extent cx="6026785" cy="60540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605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A0" w:rsidRPr="0012383C">
        <w:rPr>
          <w:b/>
          <w:bCs/>
          <w:lang w:val="en-GB"/>
        </w:rPr>
        <w:t xml:space="preserve">Decentralized governance: </w:t>
      </w:r>
      <w:r w:rsidR="00D94BA0" w:rsidRPr="0012383C">
        <w:rPr>
          <w:lang w:val="en-GB"/>
        </w:rPr>
        <w:t>greater resources, capacity development, executive authority, and accountability mechanisms at the local level</w:t>
      </w:r>
      <w:r w:rsidR="00D94BA0">
        <w:rPr>
          <w:lang w:val="en-GB"/>
        </w:rPr>
        <w:t xml:space="preserve"> and m</w:t>
      </w:r>
      <w:r w:rsidR="00D94BA0" w:rsidRPr="0012383C">
        <w:rPr>
          <w:lang w:val="en-GB"/>
        </w:rPr>
        <w:t>etropolitan governance</w:t>
      </w:r>
    </w:p>
    <w:p w14:paraId="2FE2A03A" w14:textId="6FD26D25" w:rsidR="00D94BA0" w:rsidRPr="0012383C" w:rsidRDefault="00D94BA0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 w:rsidRPr="0012383C">
        <w:rPr>
          <w:b/>
          <w:bCs/>
          <w:lang w:val="en-GB"/>
        </w:rPr>
        <w:t>Integrated local governance</w:t>
      </w:r>
      <w:r w:rsidRPr="0012383C">
        <w:rPr>
          <w:lang w:val="en-GB"/>
        </w:rPr>
        <w:t xml:space="preserve">: Vertical coordination between multiple levels of government, </w:t>
      </w:r>
      <w:r w:rsidR="00E215A6">
        <w:rPr>
          <w:lang w:val="en-GB"/>
        </w:rPr>
        <w:t>i</w:t>
      </w:r>
      <w:r w:rsidRPr="0012383C">
        <w:rPr>
          <w:lang w:val="en-GB"/>
        </w:rPr>
        <w:t xml:space="preserve">nter-departmental or horizontal coordination, </w:t>
      </w:r>
      <w:r w:rsidR="00E215A6">
        <w:rPr>
          <w:lang w:val="en-GB"/>
        </w:rPr>
        <w:t>i</w:t>
      </w:r>
      <w:r w:rsidRPr="0012383C">
        <w:rPr>
          <w:lang w:val="en-GB"/>
        </w:rPr>
        <w:t xml:space="preserve">nter-municipal or territorial coordination </w:t>
      </w:r>
    </w:p>
    <w:p w14:paraId="2429AFA2" w14:textId="167FD07F" w:rsidR="00D94BA0" w:rsidRPr="0012383C" w:rsidRDefault="00D94BA0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 w:rsidRPr="0012383C">
        <w:rPr>
          <w:b/>
          <w:bCs/>
          <w:lang w:val="en-GB"/>
        </w:rPr>
        <w:t xml:space="preserve">Municipal </w:t>
      </w:r>
      <w:r w:rsidR="00E215A6">
        <w:rPr>
          <w:b/>
          <w:bCs/>
          <w:lang w:val="en-GB"/>
        </w:rPr>
        <w:t>f</w:t>
      </w:r>
      <w:r w:rsidRPr="0012383C">
        <w:rPr>
          <w:b/>
          <w:bCs/>
          <w:lang w:val="en-GB"/>
        </w:rPr>
        <w:t xml:space="preserve">inance: </w:t>
      </w:r>
      <w:r w:rsidR="00E215A6">
        <w:rPr>
          <w:lang w:val="en-GB"/>
        </w:rPr>
        <w:t>A</w:t>
      </w:r>
      <w:r w:rsidRPr="0012383C">
        <w:rPr>
          <w:lang w:val="en-GB"/>
        </w:rPr>
        <w:t xml:space="preserve">dequate </w:t>
      </w:r>
      <w:r w:rsidR="00E215A6">
        <w:rPr>
          <w:lang w:val="en-GB"/>
        </w:rPr>
        <w:t>and solid financial resources at municipal level</w:t>
      </w:r>
      <w:r w:rsidRPr="0012383C">
        <w:rPr>
          <w:lang w:val="en-GB"/>
        </w:rPr>
        <w:t xml:space="preserve"> </w:t>
      </w:r>
      <w:r w:rsidR="00E215A6">
        <w:rPr>
          <w:lang w:val="en-GB"/>
        </w:rPr>
        <w:t>are</w:t>
      </w:r>
      <w:r w:rsidRPr="0012383C">
        <w:rPr>
          <w:lang w:val="en-GB"/>
        </w:rPr>
        <w:t xml:space="preserve"> key to successful SDG implementation</w:t>
      </w:r>
      <w:r w:rsidR="00E215A6">
        <w:rPr>
          <w:lang w:val="en-GB"/>
        </w:rPr>
        <w:t>.</w:t>
      </w:r>
      <w:r w:rsidRPr="0012383C">
        <w:rPr>
          <w:lang w:val="en-GB"/>
        </w:rPr>
        <w:t xml:space="preserve"> </w:t>
      </w:r>
      <w:r w:rsidR="00E215A6">
        <w:rPr>
          <w:lang w:val="en-GB"/>
        </w:rPr>
        <w:t>T</w:t>
      </w:r>
      <w:r w:rsidRPr="0012383C">
        <w:rPr>
          <w:lang w:val="en-GB"/>
        </w:rPr>
        <w:t>he fiscal autonomy of local governments</w:t>
      </w:r>
      <w:r>
        <w:rPr>
          <w:lang w:val="en-GB"/>
        </w:rPr>
        <w:t>,</w:t>
      </w:r>
      <w:r w:rsidRPr="0012383C">
        <w:rPr>
          <w:lang w:val="en-GB"/>
        </w:rPr>
        <w:t xml:space="preserve"> as well as their capacities for financial management need to be strengthened for SDG locali</w:t>
      </w:r>
      <w:r w:rsidR="00E215A6">
        <w:rPr>
          <w:lang w:val="en-GB"/>
        </w:rPr>
        <w:t>s</w:t>
      </w:r>
      <w:r w:rsidRPr="0012383C">
        <w:rPr>
          <w:lang w:val="en-GB"/>
        </w:rPr>
        <w:t>ation</w:t>
      </w:r>
    </w:p>
    <w:p w14:paraId="6E43962B" w14:textId="6FB5501D" w:rsidR="00D94BA0" w:rsidRPr="0012383C" w:rsidRDefault="00D94BA0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 w:rsidRPr="0012383C">
        <w:rPr>
          <w:b/>
          <w:bCs/>
          <w:lang w:val="en-GB"/>
        </w:rPr>
        <w:t xml:space="preserve">Government capacity development: </w:t>
      </w:r>
      <w:r w:rsidRPr="0012383C">
        <w:rPr>
          <w:lang w:val="en-GB"/>
        </w:rPr>
        <w:t xml:space="preserve">The scale and breadth of </w:t>
      </w:r>
      <w:r w:rsidR="00C0369A">
        <w:rPr>
          <w:lang w:val="en-GB"/>
        </w:rPr>
        <w:t xml:space="preserve">the </w:t>
      </w:r>
      <w:r w:rsidRPr="0012383C">
        <w:rPr>
          <w:lang w:val="en-GB"/>
        </w:rPr>
        <w:t>SDG implementation challenge is immense, and governments at all levels will need to build their institutional capacity to del</w:t>
      </w:r>
      <w:r w:rsidR="00C0369A">
        <w:rPr>
          <w:lang w:val="en-GB"/>
        </w:rPr>
        <w:t>i</w:t>
      </w:r>
      <w:r w:rsidRPr="0012383C">
        <w:rPr>
          <w:lang w:val="en-GB"/>
        </w:rPr>
        <w:t xml:space="preserve">ver. This section looks at tools and mechanisms to develop local government capacity. </w:t>
      </w:r>
    </w:p>
    <w:p w14:paraId="31E4D1EE" w14:textId="6C1A94B4" w:rsidR="00D94BA0" w:rsidRPr="0012383C" w:rsidRDefault="00D94BA0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 w:rsidRPr="0012383C">
        <w:rPr>
          <w:b/>
          <w:bCs/>
          <w:lang w:val="en-GB"/>
        </w:rPr>
        <w:t xml:space="preserve">Policy framework / </w:t>
      </w:r>
      <w:r w:rsidR="00E215A6">
        <w:rPr>
          <w:b/>
          <w:bCs/>
          <w:lang w:val="en-GB"/>
        </w:rPr>
        <w:t>n</w:t>
      </w:r>
      <w:r w:rsidRPr="0012383C">
        <w:rPr>
          <w:b/>
          <w:bCs/>
          <w:lang w:val="en-GB"/>
        </w:rPr>
        <w:t xml:space="preserve">ational urban policy: </w:t>
      </w:r>
      <w:r w:rsidR="00C0369A">
        <w:rPr>
          <w:lang w:val="en-GB"/>
        </w:rPr>
        <w:t>P</w:t>
      </w:r>
      <w:r w:rsidRPr="0012383C">
        <w:rPr>
          <w:lang w:val="en-GB"/>
        </w:rPr>
        <w:t>olicies can enable sustainable urban and local development</w:t>
      </w:r>
      <w:r w:rsidR="00261384">
        <w:rPr>
          <w:lang w:val="en-GB"/>
        </w:rPr>
        <w:t>. Especially</w:t>
      </w:r>
      <w:r w:rsidRPr="0012383C">
        <w:rPr>
          <w:lang w:val="en-GB"/>
        </w:rPr>
        <w:t xml:space="preserve"> national urban policies can support universal SDG achievement across all cities and human settlements</w:t>
      </w:r>
      <w:r w:rsidR="00261384">
        <w:rPr>
          <w:lang w:val="en-GB"/>
        </w:rPr>
        <w:t xml:space="preserve"> in a country</w:t>
      </w:r>
      <w:r w:rsidRPr="0012383C">
        <w:rPr>
          <w:lang w:val="en-GB"/>
        </w:rPr>
        <w:t>. A National Urban Policy (NUP) is a coherent set of decisions derived through a consultative process for a common vision that promotes more transformative, productive, inclusive and resilient urban development in the long term</w:t>
      </w:r>
      <w:r w:rsidR="00402A86">
        <w:rPr>
          <w:lang w:val="en-GB"/>
        </w:rPr>
        <w:t>.</w:t>
      </w:r>
    </w:p>
    <w:p w14:paraId="297B9BA0" w14:textId="2E084922" w:rsidR="00480F68" w:rsidRPr="00D94BA0" w:rsidRDefault="00D94BA0" w:rsidP="009D606D">
      <w:pPr>
        <w:pStyle w:val="Listenabsatz"/>
        <w:numPr>
          <w:ilvl w:val="0"/>
          <w:numId w:val="11"/>
        </w:numPr>
        <w:spacing w:before="120"/>
        <w:contextualSpacing w:val="0"/>
        <w:rPr>
          <w:lang w:val="en-GB"/>
        </w:rPr>
      </w:pPr>
      <w:r w:rsidRPr="0012383C">
        <w:rPr>
          <w:b/>
          <w:bCs/>
          <w:lang w:val="en-GB"/>
        </w:rPr>
        <w:t xml:space="preserve">Monitoring and reporting: </w:t>
      </w:r>
      <w:r w:rsidRPr="0012383C">
        <w:rPr>
          <w:lang w:val="en-GB"/>
        </w:rPr>
        <w:t>Measures to monitor and assess the performance of local and regional governments, as well as to support them to improve over time.</w:t>
      </w:r>
      <w:bookmarkStart w:id="0" w:name="_GoBack"/>
      <w:bookmarkEnd w:id="0"/>
    </w:p>
    <w:sectPr w:rsidR="00480F68" w:rsidRPr="00D94BA0" w:rsidSect="00503372">
      <w:headerReference w:type="default" r:id="rId11"/>
      <w:footerReference w:type="default" r:id="rId12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0F5D" w14:textId="77777777" w:rsidR="00CC0FC1" w:rsidRDefault="00CC0FC1" w:rsidP="00E0714A">
      <w:r>
        <w:separator/>
      </w:r>
    </w:p>
  </w:endnote>
  <w:endnote w:type="continuationSeparator" w:id="0">
    <w:p w14:paraId="0DA36816" w14:textId="77777777" w:rsidR="00CC0FC1" w:rsidRDefault="00CC0FC1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4A39DB1" w14:textId="77777777" w:rsidTr="000D6C89">
      <w:tc>
        <w:tcPr>
          <w:tcW w:w="1329" w:type="pct"/>
        </w:tcPr>
        <w:p w14:paraId="5BA575E2" w14:textId="113170FB" w:rsidR="00703906" w:rsidRDefault="00DC41AB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75A840CE" w14:textId="5F1EF5F5" w:rsidR="00703906" w:rsidRDefault="00DC41AB" w:rsidP="007039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By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52CB19A5" w14:textId="68FCE7CF" w:rsidR="00703906" w:rsidRDefault="00DC41AB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23E56578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8217" w14:textId="77777777" w:rsidR="00CC0FC1" w:rsidRDefault="00CC0FC1" w:rsidP="00E0714A">
      <w:r>
        <w:separator/>
      </w:r>
    </w:p>
  </w:footnote>
  <w:footnote w:type="continuationSeparator" w:id="0">
    <w:p w14:paraId="6DF5697F" w14:textId="77777777" w:rsidR="00CC0FC1" w:rsidRDefault="00CC0FC1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03906" w:rsidRPr="00703906" w14:paraId="3BB96EC7" w14:textId="77777777" w:rsidTr="000D6C89">
      <w:tc>
        <w:tcPr>
          <w:tcW w:w="3497" w:type="pct"/>
        </w:tcPr>
        <w:p w14:paraId="4C018F53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2E44F0C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27F80A" wp14:editId="5E638208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DBA607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37358"/>
    <w:multiLevelType w:val="hybridMultilevel"/>
    <w:tmpl w:val="96048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72"/>
    <w:rsid w:val="000345DC"/>
    <w:rsid w:val="00051206"/>
    <w:rsid w:val="00261384"/>
    <w:rsid w:val="00306F50"/>
    <w:rsid w:val="003B306D"/>
    <w:rsid w:val="003E29DA"/>
    <w:rsid w:val="003E5CAF"/>
    <w:rsid w:val="00402A86"/>
    <w:rsid w:val="00480F68"/>
    <w:rsid w:val="00503372"/>
    <w:rsid w:val="00676462"/>
    <w:rsid w:val="00681AE3"/>
    <w:rsid w:val="00703906"/>
    <w:rsid w:val="00777255"/>
    <w:rsid w:val="0080748B"/>
    <w:rsid w:val="008237D6"/>
    <w:rsid w:val="009D606D"/>
    <w:rsid w:val="00BA10B5"/>
    <w:rsid w:val="00C0369A"/>
    <w:rsid w:val="00C80B53"/>
    <w:rsid w:val="00CC0FC1"/>
    <w:rsid w:val="00D94BA0"/>
    <w:rsid w:val="00DC41AB"/>
    <w:rsid w:val="00E0714A"/>
    <w:rsid w:val="00E215A6"/>
    <w:rsid w:val="00F30AA3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15DB1"/>
  <w15:chartTrackingRefBased/>
  <w15:docId w15:val="{45B8C110-B78C-42B8-A74D-2F3A2AC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D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36ABB-3E8E-4B98-86A0-104E845FB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E8A18-ABFF-4E25-B28E-5956EBFEE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D19FF-BBA6-4D6E-B874-589B6A53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1904</Characters>
  <Application>Microsoft Office Word</Application>
  <DocSecurity>0</DocSecurity>
  <Lines>82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13</cp:revision>
  <dcterms:created xsi:type="dcterms:W3CDTF">2020-07-21T08:54:00Z</dcterms:created>
  <dcterms:modified xsi:type="dcterms:W3CDTF">2020-08-21T14:27:00Z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