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F132" w14:textId="44FC3C62" w:rsidR="00EB46EA" w:rsidRDefault="00EB46EA" w:rsidP="00EB46EA">
      <w:pPr>
        <w:jc w:val="center"/>
        <w:rPr>
          <w:b/>
          <w:bCs/>
          <w:sz w:val="32"/>
          <w:szCs w:val="32"/>
          <w:lang w:val="en-GB"/>
        </w:rPr>
      </w:pPr>
      <w:r w:rsidRPr="007D2E9E">
        <w:rPr>
          <w:b/>
          <w:bCs/>
          <w:sz w:val="32"/>
          <w:szCs w:val="32"/>
          <w:lang w:val="en-GB"/>
        </w:rPr>
        <w:t>Self-</w:t>
      </w:r>
      <w:r>
        <w:rPr>
          <w:b/>
          <w:bCs/>
          <w:sz w:val="32"/>
          <w:szCs w:val="32"/>
          <w:lang w:val="en-GB"/>
        </w:rPr>
        <w:t>A</w:t>
      </w:r>
      <w:r w:rsidRPr="007D2E9E">
        <w:rPr>
          <w:b/>
          <w:bCs/>
          <w:sz w:val="32"/>
          <w:szCs w:val="32"/>
          <w:lang w:val="en-GB"/>
        </w:rPr>
        <w:t xml:space="preserve">ssessment of </w:t>
      </w:r>
      <w:r>
        <w:rPr>
          <w:b/>
          <w:bCs/>
          <w:sz w:val="32"/>
          <w:szCs w:val="32"/>
          <w:lang w:val="en-GB"/>
        </w:rPr>
        <w:t>F</w:t>
      </w:r>
      <w:r w:rsidRPr="007D2E9E">
        <w:rPr>
          <w:b/>
          <w:bCs/>
          <w:sz w:val="32"/>
          <w:szCs w:val="32"/>
          <w:lang w:val="en-GB"/>
        </w:rPr>
        <w:t xml:space="preserve">inancing </w:t>
      </w:r>
      <w:r>
        <w:rPr>
          <w:b/>
          <w:bCs/>
          <w:sz w:val="32"/>
          <w:szCs w:val="32"/>
          <w:lang w:val="en-GB"/>
        </w:rPr>
        <w:t>O</w:t>
      </w:r>
      <w:r w:rsidRPr="007D2E9E">
        <w:rPr>
          <w:b/>
          <w:bCs/>
          <w:sz w:val="32"/>
          <w:szCs w:val="32"/>
          <w:lang w:val="en-GB"/>
        </w:rPr>
        <w:t>ptions</w:t>
      </w:r>
    </w:p>
    <w:p w14:paraId="1BA54CC1" w14:textId="2F7E3C31" w:rsidR="00EB46EA" w:rsidRDefault="00EB46EA" w:rsidP="00EB46EA">
      <w:pPr>
        <w:jc w:val="center"/>
        <w:rPr>
          <w:b/>
          <w:bCs/>
          <w:sz w:val="32"/>
          <w:szCs w:val="32"/>
          <w:lang w:val="en-GB"/>
        </w:rPr>
      </w:pPr>
    </w:p>
    <w:p w14:paraId="18D7E07F" w14:textId="07FF4AEF" w:rsidR="00EB46EA" w:rsidRPr="00EB46EA" w:rsidRDefault="00EB46EA" w:rsidP="00EB46EA">
      <w:pPr>
        <w:jc w:val="center"/>
        <w:rPr>
          <w:b/>
          <w:bCs/>
          <w:sz w:val="28"/>
          <w:szCs w:val="28"/>
          <w:lang w:val="en-GB"/>
        </w:rPr>
      </w:pPr>
      <w:sdt>
        <w:sdtPr>
          <w:rPr>
            <w:b/>
            <w:bCs/>
            <w:sz w:val="28"/>
            <w:szCs w:val="28"/>
            <w:highlight w:val="lightGray"/>
          </w:rPr>
          <w:alias w:val="please enter the name of your city here"/>
          <w:tag w:val="please enter the name of your city here"/>
          <w:id w:val="1432932989"/>
          <w:placeholder>
            <w:docPart w:val="99C64FBD36AC4C1580239D2B8D4957F0"/>
          </w:placeholder>
        </w:sdtPr>
        <w:sdtContent>
          <w:r w:rsidRPr="00EB46EA">
            <w:rPr>
              <w:b/>
              <w:bCs/>
              <w:sz w:val="28"/>
              <w:szCs w:val="28"/>
              <w:highlight w:val="lightGray"/>
            </w:rPr>
            <w:t>[</w:t>
          </w:r>
          <w:r w:rsidRPr="00EB46EA">
            <w:rPr>
              <w:b/>
              <w:bCs/>
              <w:sz w:val="28"/>
              <w:szCs w:val="28"/>
              <w:highlight w:val="lightGray"/>
              <w:lang w:val="en-US"/>
            </w:rPr>
            <w:t>Name of your city</w:t>
          </w:r>
          <w:r w:rsidRPr="00EB46EA">
            <w:rPr>
              <w:b/>
              <w:bCs/>
              <w:sz w:val="28"/>
              <w:szCs w:val="28"/>
              <w:highlight w:val="lightGray"/>
              <w:lang w:val="en-US"/>
            </w:rPr>
            <w:t>]</w:t>
          </w:r>
        </w:sdtContent>
      </w:sdt>
    </w:p>
    <w:p w14:paraId="38750812" w14:textId="77777777" w:rsidR="00EB46EA" w:rsidRDefault="00EB46EA" w:rsidP="00EB46EA">
      <w:pPr>
        <w:rPr>
          <w:b/>
          <w:bCs/>
          <w:sz w:val="32"/>
          <w:szCs w:val="32"/>
          <w:lang w:val="en-GB"/>
        </w:rPr>
      </w:pPr>
    </w:p>
    <w:p w14:paraId="7CC36C82" w14:textId="77777777" w:rsidR="00EB46EA" w:rsidRDefault="00EB46EA" w:rsidP="00EB46EA">
      <w:pPr>
        <w:jc w:val="both"/>
        <w:rPr>
          <w:i/>
          <w:iCs/>
          <w:lang w:val="en-GB"/>
        </w:rPr>
      </w:pPr>
    </w:p>
    <w:p w14:paraId="7026AC7D" w14:textId="77777777" w:rsidR="00EB46EA" w:rsidRPr="007D2E9E" w:rsidRDefault="00EB46EA" w:rsidP="00EB46EA">
      <w:pPr>
        <w:jc w:val="both"/>
        <w:rPr>
          <w:i/>
          <w:iCs/>
          <w:lang w:val="en-GB"/>
        </w:rPr>
      </w:pPr>
      <w:r>
        <w:rPr>
          <w:i/>
          <w:iCs/>
          <w:lang w:val="en-GB"/>
        </w:rPr>
        <w:t xml:space="preserve">Use the </w:t>
      </w:r>
      <w:r w:rsidRPr="007D2E9E">
        <w:rPr>
          <w:i/>
          <w:iCs/>
          <w:lang w:val="en-GB"/>
        </w:rPr>
        <w:t xml:space="preserve">following table </w:t>
      </w:r>
      <w:r>
        <w:rPr>
          <w:i/>
          <w:iCs/>
          <w:lang w:val="en-GB"/>
        </w:rPr>
        <w:t xml:space="preserve">to assess your city’s financing options. The table </w:t>
      </w:r>
      <w:r w:rsidRPr="007D2E9E">
        <w:rPr>
          <w:i/>
          <w:iCs/>
          <w:lang w:val="en-GB"/>
        </w:rPr>
        <w:t xml:space="preserve">is based on </w:t>
      </w:r>
      <w:r>
        <w:rPr>
          <w:i/>
          <w:iCs/>
          <w:lang w:val="en-GB"/>
        </w:rPr>
        <w:t>SDSN</w:t>
      </w:r>
      <w:r w:rsidRPr="007D2E9E">
        <w:rPr>
          <w:i/>
          <w:iCs/>
          <w:lang w:val="en-GB"/>
        </w:rPr>
        <w:t xml:space="preserve">’s </w:t>
      </w:r>
      <w:hyperlink r:id="rId10" w:history="1">
        <w:r w:rsidRPr="007D2E9E">
          <w:rPr>
            <w:rStyle w:val="Hyperlink"/>
            <w:i/>
            <w:iCs/>
            <w:lang w:val="en-GB"/>
          </w:rPr>
          <w:t>SDG Cities Guide</w:t>
        </w:r>
      </w:hyperlink>
      <w:r w:rsidRPr="007D2E9E">
        <w:rPr>
          <w:i/>
          <w:iCs/>
          <w:lang w:val="en-GB"/>
        </w:rPr>
        <w:t>.</w:t>
      </w:r>
    </w:p>
    <w:p w14:paraId="16B41B98" w14:textId="77777777" w:rsidR="00EB46EA" w:rsidRDefault="00EB46EA" w:rsidP="00EB46EA">
      <w:pPr>
        <w:rPr>
          <w:lang w:val="en-GB"/>
        </w:rPr>
      </w:pPr>
    </w:p>
    <w:p w14:paraId="16934427" w14:textId="77777777" w:rsidR="00EB46EA" w:rsidRDefault="00EB46EA" w:rsidP="00EB46EA">
      <w:pPr>
        <w:rPr>
          <w:lang w:val="en-GB"/>
        </w:rPr>
      </w:pPr>
    </w:p>
    <w:tbl>
      <w:tblPr>
        <w:tblStyle w:val="Tabellenraster"/>
        <w:tblW w:w="0" w:type="auto"/>
        <w:tblLook w:val="04A0" w:firstRow="1" w:lastRow="0" w:firstColumn="1" w:lastColumn="0" w:noHBand="0" w:noVBand="1"/>
      </w:tblPr>
      <w:tblGrid>
        <w:gridCol w:w="2171"/>
        <w:gridCol w:w="4212"/>
        <w:gridCol w:w="1883"/>
        <w:gridCol w:w="3123"/>
        <w:gridCol w:w="2745"/>
      </w:tblGrid>
      <w:tr w:rsidR="00EB46EA" w:rsidRPr="005051F2" w14:paraId="19932F12" w14:textId="77777777" w:rsidTr="00F409FD">
        <w:trPr>
          <w:cantSplit/>
          <w:trHeight w:val="639"/>
        </w:trPr>
        <w:tc>
          <w:tcPr>
            <w:tcW w:w="2171" w:type="dxa"/>
            <w:shd w:val="clear" w:color="auto" w:fill="FFE599" w:themeFill="accent4" w:themeFillTint="66"/>
            <w:noWrap/>
            <w:hideMark/>
          </w:tcPr>
          <w:p w14:paraId="2AAA4CE8" w14:textId="77777777" w:rsidR="00EB46EA" w:rsidRPr="005E3C88" w:rsidRDefault="00EB46EA" w:rsidP="00F409FD">
            <w:pPr>
              <w:rPr>
                <w:b/>
                <w:bCs/>
                <w:lang w:val="en-GB"/>
              </w:rPr>
            </w:pPr>
            <w:r w:rsidRPr="005E3C88">
              <w:rPr>
                <w:b/>
                <w:bCs/>
                <w:lang w:val="en-GB"/>
              </w:rPr>
              <w:t xml:space="preserve">Financing mechanism </w:t>
            </w:r>
          </w:p>
        </w:tc>
        <w:tc>
          <w:tcPr>
            <w:tcW w:w="4212" w:type="dxa"/>
            <w:shd w:val="clear" w:color="auto" w:fill="FFE599" w:themeFill="accent4" w:themeFillTint="66"/>
            <w:noWrap/>
            <w:hideMark/>
          </w:tcPr>
          <w:p w14:paraId="625537B9" w14:textId="77777777" w:rsidR="00EB46EA" w:rsidRPr="005E3C88" w:rsidRDefault="00EB46EA" w:rsidP="00F409FD">
            <w:pPr>
              <w:rPr>
                <w:b/>
                <w:bCs/>
                <w:lang w:val="en-GB"/>
              </w:rPr>
            </w:pPr>
            <w:r w:rsidRPr="005E3C88">
              <w:rPr>
                <w:b/>
                <w:bCs/>
                <w:lang w:val="en-GB"/>
              </w:rPr>
              <w:t>Description</w:t>
            </w:r>
          </w:p>
        </w:tc>
        <w:tc>
          <w:tcPr>
            <w:tcW w:w="1883" w:type="dxa"/>
            <w:shd w:val="clear" w:color="auto" w:fill="FFE599" w:themeFill="accent4" w:themeFillTint="66"/>
            <w:hideMark/>
          </w:tcPr>
          <w:p w14:paraId="7A478D12" w14:textId="77777777" w:rsidR="00EB46EA" w:rsidRPr="005E3C88" w:rsidRDefault="00EB46EA" w:rsidP="00F409FD">
            <w:pPr>
              <w:rPr>
                <w:b/>
                <w:bCs/>
                <w:lang w:val="en-GB"/>
              </w:rPr>
            </w:pPr>
            <w:r w:rsidRPr="005E3C88">
              <w:rPr>
                <w:b/>
                <w:bCs/>
                <w:lang w:val="en-GB"/>
              </w:rPr>
              <w:t>Share of total current income of city</w:t>
            </w:r>
          </w:p>
        </w:tc>
        <w:tc>
          <w:tcPr>
            <w:tcW w:w="3123" w:type="dxa"/>
            <w:shd w:val="clear" w:color="auto" w:fill="FFE599" w:themeFill="accent4" w:themeFillTint="66"/>
            <w:hideMark/>
          </w:tcPr>
          <w:p w14:paraId="25FBD5B7" w14:textId="77777777" w:rsidR="00EB46EA" w:rsidRPr="005E3C88" w:rsidRDefault="00EB46EA" w:rsidP="00F409FD">
            <w:pPr>
              <w:rPr>
                <w:b/>
                <w:bCs/>
                <w:lang w:val="en-GB"/>
              </w:rPr>
            </w:pPr>
            <w:r w:rsidRPr="005E3C88">
              <w:rPr>
                <w:b/>
                <w:bCs/>
                <w:lang w:val="en-GB"/>
              </w:rPr>
              <w:t>Available capacity for the use of the mechanism</w:t>
            </w:r>
          </w:p>
        </w:tc>
        <w:tc>
          <w:tcPr>
            <w:tcW w:w="2745" w:type="dxa"/>
            <w:shd w:val="clear" w:color="auto" w:fill="FFE599" w:themeFill="accent4" w:themeFillTint="66"/>
            <w:hideMark/>
          </w:tcPr>
          <w:p w14:paraId="49428FCB" w14:textId="77777777" w:rsidR="00EB46EA" w:rsidRPr="005E3C88" w:rsidRDefault="00EB46EA" w:rsidP="00F409FD">
            <w:pPr>
              <w:rPr>
                <w:b/>
                <w:bCs/>
                <w:lang w:val="en-GB"/>
              </w:rPr>
            </w:pPr>
            <w:r w:rsidRPr="005E3C88">
              <w:rPr>
                <w:b/>
                <w:bCs/>
                <w:lang w:val="en-GB"/>
              </w:rPr>
              <w:t>Challenge in applying the mechanism</w:t>
            </w:r>
          </w:p>
        </w:tc>
      </w:tr>
      <w:tr w:rsidR="00EB46EA" w:rsidRPr="005051F2" w14:paraId="27D01B48" w14:textId="77777777" w:rsidTr="00F409FD">
        <w:trPr>
          <w:cantSplit/>
          <w:trHeight w:val="1320"/>
        </w:trPr>
        <w:tc>
          <w:tcPr>
            <w:tcW w:w="2171" w:type="dxa"/>
            <w:noWrap/>
            <w:hideMark/>
          </w:tcPr>
          <w:p w14:paraId="3E819497" w14:textId="77777777" w:rsidR="00EB46EA" w:rsidRPr="005E3C88" w:rsidRDefault="00EB46EA" w:rsidP="00F409FD">
            <w:pPr>
              <w:rPr>
                <w:b/>
                <w:bCs/>
                <w:lang w:val="en-GB"/>
              </w:rPr>
            </w:pPr>
            <w:r w:rsidRPr="005E3C88">
              <w:rPr>
                <w:b/>
                <w:bCs/>
                <w:lang w:val="en-GB"/>
              </w:rPr>
              <w:t xml:space="preserve">Local taxes/surcharges </w:t>
            </w:r>
          </w:p>
        </w:tc>
        <w:tc>
          <w:tcPr>
            <w:tcW w:w="4212" w:type="dxa"/>
            <w:hideMark/>
          </w:tcPr>
          <w:p w14:paraId="0C2E3089" w14:textId="77777777" w:rsidR="00EB46EA" w:rsidRPr="005E3C88" w:rsidRDefault="00EB46EA" w:rsidP="00F409FD">
            <w:pPr>
              <w:rPr>
                <w:lang w:val="en-GB"/>
              </w:rPr>
            </w:pPr>
            <w:r w:rsidRPr="005E3C88">
              <w:rPr>
                <w:lang w:val="en-GB"/>
              </w:rPr>
              <w:t>Taxation powers of local governments are typically restricted, with property taxes being the only significant tax source of many local authorities. Authorities can sometimes impose local surcharges for boosting local revenues, or as a financial mechanism for funding local projects or schemes.</w:t>
            </w:r>
          </w:p>
        </w:tc>
        <w:tc>
          <w:tcPr>
            <w:tcW w:w="1883" w:type="dxa"/>
            <w:noWrap/>
            <w:hideMark/>
          </w:tcPr>
          <w:p w14:paraId="6308BCC7" w14:textId="77777777" w:rsidR="00EB46EA" w:rsidRPr="005E3C88" w:rsidRDefault="00EB46EA" w:rsidP="00F409FD">
            <w:pPr>
              <w:rPr>
                <w:lang w:val="en-GB"/>
              </w:rPr>
            </w:pPr>
            <w:r w:rsidRPr="005E3C88">
              <w:rPr>
                <w:lang w:val="en-GB"/>
              </w:rPr>
              <w:t> </w:t>
            </w:r>
          </w:p>
        </w:tc>
        <w:tc>
          <w:tcPr>
            <w:tcW w:w="3123" w:type="dxa"/>
            <w:noWrap/>
            <w:hideMark/>
          </w:tcPr>
          <w:p w14:paraId="613F034B" w14:textId="77777777" w:rsidR="00EB46EA" w:rsidRPr="005E3C88" w:rsidRDefault="00EB46EA" w:rsidP="00F409FD">
            <w:pPr>
              <w:rPr>
                <w:lang w:val="en-GB"/>
              </w:rPr>
            </w:pPr>
          </w:p>
        </w:tc>
        <w:tc>
          <w:tcPr>
            <w:tcW w:w="2745" w:type="dxa"/>
            <w:noWrap/>
            <w:hideMark/>
          </w:tcPr>
          <w:p w14:paraId="496E4EC1" w14:textId="77777777" w:rsidR="00EB46EA" w:rsidRPr="005E3C88" w:rsidRDefault="00EB46EA" w:rsidP="00F409FD">
            <w:pPr>
              <w:rPr>
                <w:lang w:val="en-GB"/>
              </w:rPr>
            </w:pPr>
            <w:r w:rsidRPr="005E3C88">
              <w:rPr>
                <w:lang w:val="en-GB"/>
              </w:rPr>
              <w:t> </w:t>
            </w:r>
          </w:p>
        </w:tc>
      </w:tr>
      <w:tr w:rsidR="00EB46EA" w:rsidRPr="005051F2" w14:paraId="362BABBA" w14:textId="77777777" w:rsidTr="00F409FD">
        <w:trPr>
          <w:cantSplit/>
          <w:trHeight w:val="1584"/>
        </w:trPr>
        <w:tc>
          <w:tcPr>
            <w:tcW w:w="2171" w:type="dxa"/>
            <w:noWrap/>
            <w:hideMark/>
          </w:tcPr>
          <w:p w14:paraId="75B35279" w14:textId="77777777" w:rsidR="00EB46EA" w:rsidRPr="005E3C88" w:rsidRDefault="00EB46EA" w:rsidP="00F409FD">
            <w:pPr>
              <w:rPr>
                <w:b/>
                <w:bCs/>
                <w:lang w:val="en-GB"/>
              </w:rPr>
            </w:pPr>
            <w:r w:rsidRPr="005E3C88">
              <w:rPr>
                <w:b/>
                <w:bCs/>
                <w:lang w:val="en-GB"/>
              </w:rPr>
              <w:t xml:space="preserve">User tariffs </w:t>
            </w:r>
          </w:p>
        </w:tc>
        <w:tc>
          <w:tcPr>
            <w:tcW w:w="4212" w:type="dxa"/>
            <w:hideMark/>
          </w:tcPr>
          <w:p w14:paraId="7B6FEA6F" w14:textId="77777777" w:rsidR="00EB46EA" w:rsidRPr="005E3C88" w:rsidRDefault="00EB46EA" w:rsidP="00F409FD">
            <w:pPr>
              <w:rPr>
                <w:lang w:val="en-GB"/>
              </w:rPr>
            </w:pPr>
            <w:r w:rsidRPr="005E3C88">
              <w:rPr>
                <w:lang w:val="en-GB"/>
              </w:rPr>
              <w:t xml:space="preserve">The optimal pricing for public services through user fees and tariffs should be designed keeping in mind the objective of covering operation costs, while ensuring the inclusion of lifeline tariffs or well-targeted subsidy mechanisms for the poor and vulnerable. They can also promote economic efficiency and improvement in the quality of service delivery. </w:t>
            </w:r>
          </w:p>
        </w:tc>
        <w:tc>
          <w:tcPr>
            <w:tcW w:w="1883" w:type="dxa"/>
            <w:noWrap/>
            <w:hideMark/>
          </w:tcPr>
          <w:p w14:paraId="0F81958B" w14:textId="77777777" w:rsidR="00EB46EA" w:rsidRPr="005E3C88" w:rsidRDefault="00EB46EA" w:rsidP="00F409FD">
            <w:pPr>
              <w:rPr>
                <w:lang w:val="en-GB"/>
              </w:rPr>
            </w:pPr>
            <w:r w:rsidRPr="005E3C88">
              <w:rPr>
                <w:lang w:val="en-GB"/>
              </w:rPr>
              <w:t> </w:t>
            </w:r>
          </w:p>
        </w:tc>
        <w:tc>
          <w:tcPr>
            <w:tcW w:w="3123" w:type="dxa"/>
            <w:noWrap/>
            <w:hideMark/>
          </w:tcPr>
          <w:p w14:paraId="7952BAA7" w14:textId="77777777" w:rsidR="00EB46EA" w:rsidRPr="005E3C88" w:rsidRDefault="00EB46EA" w:rsidP="00F409FD">
            <w:pPr>
              <w:rPr>
                <w:lang w:val="en-GB"/>
              </w:rPr>
            </w:pPr>
            <w:r w:rsidRPr="005E3C88">
              <w:rPr>
                <w:lang w:val="en-GB"/>
              </w:rPr>
              <w:t> </w:t>
            </w:r>
          </w:p>
        </w:tc>
        <w:tc>
          <w:tcPr>
            <w:tcW w:w="2745" w:type="dxa"/>
            <w:noWrap/>
            <w:hideMark/>
          </w:tcPr>
          <w:p w14:paraId="75CF8B9B" w14:textId="77777777" w:rsidR="00EB46EA" w:rsidRPr="005E3C88" w:rsidRDefault="00EB46EA" w:rsidP="00F409FD">
            <w:pPr>
              <w:rPr>
                <w:lang w:val="en-GB"/>
              </w:rPr>
            </w:pPr>
            <w:r w:rsidRPr="005E3C88">
              <w:rPr>
                <w:lang w:val="en-GB"/>
              </w:rPr>
              <w:t> </w:t>
            </w:r>
          </w:p>
        </w:tc>
      </w:tr>
      <w:tr w:rsidR="00EB46EA" w:rsidRPr="005051F2" w14:paraId="135DBC9A" w14:textId="77777777" w:rsidTr="00F409FD">
        <w:trPr>
          <w:cantSplit/>
          <w:trHeight w:val="1056"/>
        </w:trPr>
        <w:tc>
          <w:tcPr>
            <w:tcW w:w="2171" w:type="dxa"/>
            <w:hideMark/>
          </w:tcPr>
          <w:p w14:paraId="4467C022" w14:textId="77777777" w:rsidR="00EB46EA" w:rsidRPr="005E3C88" w:rsidRDefault="00EB46EA" w:rsidP="00F409FD">
            <w:pPr>
              <w:rPr>
                <w:b/>
                <w:bCs/>
                <w:lang w:val="en-GB"/>
              </w:rPr>
            </w:pPr>
            <w:r w:rsidRPr="005E3C88">
              <w:rPr>
                <w:b/>
                <w:bCs/>
                <w:lang w:val="en-GB"/>
              </w:rPr>
              <w:t xml:space="preserve">Transfers and grants from higher levels of government </w:t>
            </w:r>
          </w:p>
        </w:tc>
        <w:tc>
          <w:tcPr>
            <w:tcW w:w="4212" w:type="dxa"/>
            <w:hideMark/>
          </w:tcPr>
          <w:p w14:paraId="5B42AFB7" w14:textId="77777777" w:rsidR="00EB46EA" w:rsidRPr="005E3C88" w:rsidRDefault="00EB46EA" w:rsidP="00F409FD">
            <w:pPr>
              <w:rPr>
                <w:lang w:val="en-GB"/>
              </w:rPr>
            </w:pPr>
            <w:r w:rsidRPr="005E3C88">
              <w:rPr>
                <w:lang w:val="en-GB"/>
              </w:rPr>
              <w:t xml:space="preserve">Allocations from national and regional governments form a substantial bulk of local government finances, although their exact share in total government expenditures can vary within and across countries and sectors. </w:t>
            </w:r>
          </w:p>
        </w:tc>
        <w:tc>
          <w:tcPr>
            <w:tcW w:w="1883" w:type="dxa"/>
            <w:noWrap/>
            <w:hideMark/>
          </w:tcPr>
          <w:p w14:paraId="285BF7BE" w14:textId="77777777" w:rsidR="00EB46EA" w:rsidRPr="005E3C88" w:rsidRDefault="00EB46EA" w:rsidP="00F409FD">
            <w:pPr>
              <w:rPr>
                <w:lang w:val="en-GB"/>
              </w:rPr>
            </w:pPr>
            <w:r w:rsidRPr="005E3C88">
              <w:rPr>
                <w:lang w:val="en-GB"/>
              </w:rPr>
              <w:t> </w:t>
            </w:r>
          </w:p>
        </w:tc>
        <w:tc>
          <w:tcPr>
            <w:tcW w:w="3123" w:type="dxa"/>
            <w:noWrap/>
            <w:hideMark/>
          </w:tcPr>
          <w:p w14:paraId="6B3BFBF4" w14:textId="77777777" w:rsidR="00EB46EA" w:rsidRPr="005E3C88" w:rsidRDefault="00EB46EA" w:rsidP="00F409FD">
            <w:pPr>
              <w:rPr>
                <w:lang w:val="en-GB"/>
              </w:rPr>
            </w:pPr>
            <w:r w:rsidRPr="005E3C88">
              <w:rPr>
                <w:lang w:val="en-GB"/>
              </w:rPr>
              <w:t> </w:t>
            </w:r>
          </w:p>
        </w:tc>
        <w:tc>
          <w:tcPr>
            <w:tcW w:w="2745" w:type="dxa"/>
            <w:noWrap/>
            <w:hideMark/>
          </w:tcPr>
          <w:p w14:paraId="773DA7DD" w14:textId="77777777" w:rsidR="00EB46EA" w:rsidRPr="005E3C88" w:rsidRDefault="00EB46EA" w:rsidP="00F409FD">
            <w:pPr>
              <w:rPr>
                <w:lang w:val="en-GB"/>
              </w:rPr>
            </w:pPr>
            <w:r w:rsidRPr="005E3C88">
              <w:rPr>
                <w:lang w:val="en-GB"/>
              </w:rPr>
              <w:t> </w:t>
            </w:r>
          </w:p>
        </w:tc>
      </w:tr>
      <w:tr w:rsidR="00EB46EA" w:rsidRPr="005051F2" w14:paraId="125DD7B0" w14:textId="77777777" w:rsidTr="00F409FD">
        <w:trPr>
          <w:cantSplit/>
          <w:trHeight w:val="1056"/>
        </w:trPr>
        <w:tc>
          <w:tcPr>
            <w:tcW w:w="2171" w:type="dxa"/>
            <w:hideMark/>
          </w:tcPr>
          <w:p w14:paraId="0E192868" w14:textId="77777777" w:rsidR="00EB46EA" w:rsidRPr="005E3C88" w:rsidRDefault="00EB46EA" w:rsidP="00F409FD">
            <w:pPr>
              <w:rPr>
                <w:b/>
                <w:bCs/>
                <w:lang w:val="en-GB"/>
              </w:rPr>
            </w:pPr>
            <w:r w:rsidRPr="005E3C88">
              <w:rPr>
                <w:b/>
                <w:bCs/>
                <w:lang w:val="en-GB"/>
              </w:rPr>
              <w:t xml:space="preserve">Asset management and monetization </w:t>
            </w:r>
          </w:p>
        </w:tc>
        <w:tc>
          <w:tcPr>
            <w:tcW w:w="4212" w:type="dxa"/>
            <w:hideMark/>
          </w:tcPr>
          <w:p w14:paraId="762FC3B1" w14:textId="77777777" w:rsidR="00EB46EA" w:rsidRPr="005E3C88" w:rsidRDefault="00EB46EA" w:rsidP="00F409FD">
            <w:pPr>
              <w:rPr>
                <w:lang w:val="en-GB"/>
              </w:rPr>
            </w:pPr>
            <w:r w:rsidRPr="005E3C88">
              <w:rPr>
                <w:lang w:val="en-GB"/>
              </w:rPr>
              <w:t>Asset management and monetization is a means to boost local government revenues from the optimal use, lease or sale of a large variety of public assets such as l</w:t>
            </w:r>
            <w:bookmarkStart w:id="0" w:name="_GoBack"/>
            <w:bookmarkEnd w:id="0"/>
            <w:r w:rsidRPr="005E3C88">
              <w:rPr>
                <w:lang w:val="en-GB"/>
              </w:rPr>
              <w:t xml:space="preserve">and, building properties and service infrastructure. </w:t>
            </w:r>
          </w:p>
        </w:tc>
        <w:tc>
          <w:tcPr>
            <w:tcW w:w="1883" w:type="dxa"/>
            <w:noWrap/>
            <w:hideMark/>
          </w:tcPr>
          <w:p w14:paraId="21735A0F" w14:textId="77777777" w:rsidR="00EB46EA" w:rsidRPr="005E3C88" w:rsidRDefault="00EB46EA" w:rsidP="00F409FD">
            <w:pPr>
              <w:rPr>
                <w:lang w:val="en-GB"/>
              </w:rPr>
            </w:pPr>
            <w:r w:rsidRPr="005E3C88">
              <w:rPr>
                <w:lang w:val="en-GB"/>
              </w:rPr>
              <w:t> </w:t>
            </w:r>
          </w:p>
        </w:tc>
        <w:tc>
          <w:tcPr>
            <w:tcW w:w="3123" w:type="dxa"/>
            <w:noWrap/>
            <w:hideMark/>
          </w:tcPr>
          <w:p w14:paraId="6152B58F" w14:textId="77777777" w:rsidR="00EB46EA" w:rsidRPr="005E3C88" w:rsidRDefault="00EB46EA" w:rsidP="00F409FD">
            <w:pPr>
              <w:rPr>
                <w:lang w:val="en-GB"/>
              </w:rPr>
            </w:pPr>
            <w:r w:rsidRPr="005E3C88">
              <w:rPr>
                <w:lang w:val="en-GB"/>
              </w:rPr>
              <w:t> </w:t>
            </w:r>
          </w:p>
        </w:tc>
        <w:tc>
          <w:tcPr>
            <w:tcW w:w="2745" w:type="dxa"/>
            <w:noWrap/>
            <w:hideMark/>
          </w:tcPr>
          <w:p w14:paraId="3D0C0D0F" w14:textId="77777777" w:rsidR="00EB46EA" w:rsidRPr="005E3C88" w:rsidRDefault="00EB46EA" w:rsidP="00F409FD">
            <w:pPr>
              <w:rPr>
                <w:lang w:val="en-GB"/>
              </w:rPr>
            </w:pPr>
            <w:r w:rsidRPr="005E3C88">
              <w:rPr>
                <w:lang w:val="en-GB"/>
              </w:rPr>
              <w:t> </w:t>
            </w:r>
          </w:p>
        </w:tc>
      </w:tr>
      <w:tr w:rsidR="00EB46EA" w:rsidRPr="005051F2" w14:paraId="0820BC99" w14:textId="77777777" w:rsidTr="00F409FD">
        <w:trPr>
          <w:cantSplit/>
          <w:trHeight w:val="1848"/>
        </w:trPr>
        <w:tc>
          <w:tcPr>
            <w:tcW w:w="2171" w:type="dxa"/>
            <w:hideMark/>
          </w:tcPr>
          <w:p w14:paraId="3528293F" w14:textId="77777777" w:rsidR="00EB46EA" w:rsidRPr="005E3C88" w:rsidRDefault="00EB46EA" w:rsidP="00F409FD">
            <w:pPr>
              <w:rPr>
                <w:b/>
                <w:bCs/>
                <w:lang w:val="en-GB"/>
              </w:rPr>
            </w:pPr>
            <w:r w:rsidRPr="005E3C88">
              <w:rPr>
                <w:b/>
                <w:bCs/>
                <w:lang w:val="en-GB"/>
              </w:rPr>
              <w:lastRenderedPageBreak/>
              <w:t xml:space="preserve">Cost recovery or value capture </w:t>
            </w:r>
          </w:p>
        </w:tc>
        <w:tc>
          <w:tcPr>
            <w:tcW w:w="4212" w:type="dxa"/>
            <w:hideMark/>
          </w:tcPr>
          <w:p w14:paraId="60C3131A" w14:textId="77777777" w:rsidR="00EB46EA" w:rsidRPr="005E3C88" w:rsidRDefault="00EB46EA" w:rsidP="00F409FD">
            <w:pPr>
              <w:rPr>
                <w:lang w:val="en-GB"/>
              </w:rPr>
            </w:pPr>
            <w:r w:rsidRPr="005E3C88">
              <w:rPr>
                <w:lang w:val="en-GB"/>
              </w:rPr>
              <w:t>These financing mechanisms are based on the high value appreciation of developed urban land. Cost recovery mechanisms focus on the repayment of the cost of infrastructure by sharing the financial burden across all beneficiaries. Value capture mechanisms, alternatively, seek to yield to the state a proportion of the private gains made due to the infrastructural investment or land use change.</w:t>
            </w:r>
          </w:p>
        </w:tc>
        <w:tc>
          <w:tcPr>
            <w:tcW w:w="1883" w:type="dxa"/>
            <w:noWrap/>
            <w:hideMark/>
          </w:tcPr>
          <w:p w14:paraId="36C0B5A5" w14:textId="77777777" w:rsidR="00EB46EA" w:rsidRPr="005E3C88" w:rsidRDefault="00EB46EA" w:rsidP="00F409FD">
            <w:pPr>
              <w:rPr>
                <w:lang w:val="en-GB"/>
              </w:rPr>
            </w:pPr>
            <w:r w:rsidRPr="005E3C88">
              <w:rPr>
                <w:lang w:val="en-GB"/>
              </w:rPr>
              <w:t> </w:t>
            </w:r>
          </w:p>
        </w:tc>
        <w:tc>
          <w:tcPr>
            <w:tcW w:w="3123" w:type="dxa"/>
            <w:noWrap/>
            <w:hideMark/>
          </w:tcPr>
          <w:p w14:paraId="1A0555AF" w14:textId="77777777" w:rsidR="00EB46EA" w:rsidRPr="005E3C88" w:rsidRDefault="00EB46EA" w:rsidP="00F409FD">
            <w:pPr>
              <w:rPr>
                <w:lang w:val="en-GB"/>
              </w:rPr>
            </w:pPr>
            <w:r w:rsidRPr="005E3C88">
              <w:rPr>
                <w:lang w:val="en-GB"/>
              </w:rPr>
              <w:t> </w:t>
            </w:r>
          </w:p>
        </w:tc>
        <w:tc>
          <w:tcPr>
            <w:tcW w:w="2745" w:type="dxa"/>
            <w:noWrap/>
            <w:hideMark/>
          </w:tcPr>
          <w:p w14:paraId="59B4CCC6" w14:textId="77777777" w:rsidR="00EB46EA" w:rsidRPr="005E3C88" w:rsidRDefault="00EB46EA" w:rsidP="00F409FD">
            <w:pPr>
              <w:rPr>
                <w:lang w:val="en-GB"/>
              </w:rPr>
            </w:pPr>
            <w:r w:rsidRPr="005E3C88">
              <w:rPr>
                <w:lang w:val="en-GB"/>
              </w:rPr>
              <w:t> </w:t>
            </w:r>
          </w:p>
        </w:tc>
      </w:tr>
      <w:tr w:rsidR="00EB46EA" w:rsidRPr="005051F2" w14:paraId="241CEBFC" w14:textId="77777777" w:rsidTr="00F409FD">
        <w:trPr>
          <w:cantSplit/>
          <w:trHeight w:val="2112"/>
        </w:trPr>
        <w:tc>
          <w:tcPr>
            <w:tcW w:w="2171" w:type="dxa"/>
            <w:noWrap/>
            <w:hideMark/>
          </w:tcPr>
          <w:p w14:paraId="6AEFE5F0" w14:textId="77777777" w:rsidR="00EB46EA" w:rsidRPr="005E3C88" w:rsidRDefault="00EB46EA" w:rsidP="00F409FD">
            <w:pPr>
              <w:rPr>
                <w:b/>
                <w:bCs/>
                <w:lang w:val="en-GB"/>
              </w:rPr>
            </w:pPr>
            <w:r w:rsidRPr="005E3C88">
              <w:rPr>
                <w:b/>
                <w:bCs/>
                <w:lang w:val="en-GB"/>
              </w:rPr>
              <w:t xml:space="preserve">Development banks </w:t>
            </w:r>
          </w:p>
        </w:tc>
        <w:tc>
          <w:tcPr>
            <w:tcW w:w="4212" w:type="dxa"/>
            <w:hideMark/>
          </w:tcPr>
          <w:p w14:paraId="10551669" w14:textId="77777777" w:rsidR="00EB46EA" w:rsidRPr="005E3C88" w:rsidRDefault="00EB46EA" w:rsidP="00F409FD">
            <w:pPr>
              <w:rPr>
                <w:lang w:val="en-GB"/>
              </w:rPr>
            </w:pPr>
            <w:r w:rsidRPr="005E3C88">
              <w:rPr>
                <w:lang w:val="en-GB"/>
              </w:rPr>
              <w:t xml:space="preserve">Sub-national, national, and multilateral development banks provide an important source of financing for large-scale projects to local governments in emerging economies. By issuing long- term loans at concessionary rates, development banks provide an important source of development finance </w:t>
            </w:r>
            <w:proofErr w:type="gramStart"/>
            <w:r w:rsidRPr="005E3C88">
              <w:rPr>
                <w:lang w:val="en-GB"/>
              </w:rPr>
              <w:t>and also</w:t>
            </w:r>
            <w:proofErr w:type="gramEnd"/>
            <w:r w:rsidRPr="005E3C88">
              <w:rPr>
                <w:lang w:val="en-GB"/>
              </w:rPr>
              <w:t xml:space="preserve"> support local government capacity development through planning support, project oversight and risk management. </w:t>
            </w:r>
          </w:p>
        </w:tc>
        <w:tc>
          <w:tcPr>
            <w:tcW w:w="1883" w:type="dxa"/>
            <w:noWrap/>
            <w:hideMark/>
          </w:tcPr>
          <w:p w14:paraId="2B49751D" w14:textId="77777777" w:rsidR="00EB46EA" w:rsidRPr="005E3C88" w:rsidRDefault="00EB46EA" w:rsidP="00F409FD">
            <w:pPr>
              <w:rPr>
                <w:lang w:val="en-GB"/>
              </w:rPr>
            </w:pPr>
            <w:r w:rsidRPr="005E3C88">
              <w:rPr>
                <w:lang w:val="en-GB"/>
              </w:rPr>
              <w:t> </w:t>
            </w:r>
          </w:p>
        </w:tc>
        <w:tc>
          <w:tcPr>
            <w:tcW w:w="3123" w:type="dxa"/>
            <w:noWrap/>
            <w:hideMark/>
          </w:tcPr>
          <w:p w14:paraId="3C1EB180" w14:textId="77777777" w:rsidR="00EB46EA" w:rsidRPr="005E3C88" w:rsidRDefault="00EB46EA" w:rsidP="00F409FD">
            <w:pPr>
              <w:rPr>
                <w:lang w:val="en-GB"/>
              </w:rPr>
            </w:pPr>
            <w:r w:rsidRPr="005E3C88">
              <w:rPr>
                <w:lang w:val="en-GB"/>
              </w:rPr>
              <w:t> </w:t>
            </w:r>
          </w:p>
        </w:tc>
        <w:tc>
          <w:tcPr>
            <w:tcW w:w="2745" w:type="dxa"/>
            <w:noWrap/>
            <w:hideMark/>
          </w:tcPr>
          <w:p w14:paraId="008C5EC9" w14:textId="77777777" w:rsidR="00EB46EA" w:rsidRPr="005E3C88" w:rsidRDefault="00EB46EA" w:rsidP="00F409FD">
            <w:pPr>
              <w:rPr>
                <w:lang w:val="en-GB"/>
              </w:rPr>
            </w:pPr>
            <w:r w:rsidRPr="005E3C88">
              <w:rPr>
                <w:lang w:val="en-GB"/>
              </w:rPr>
              <w:t> </w:t>
            </w:r>
          </w:p>
        </w:tc>
      </w:tr>
      <w:tr w:rsidR="00EB46EA" w:rsidRPr="005051F2" w14:paraId="396FD60F" w14:textId="77777777" w:rsidTr="00F409FD">
        <w:trPr>
          <w:cantSplit/>
          <w:trHeight w:val="1584"/>
        </w:trPr>
        <w:tc>
          <w:tcPr>
            <w:tcW w:w="2171" w:type="dxa"/>
            <w:noWrap/>
            <w:hideMark/>
          </w:tcPr>
          <w:p w14:paraId="0495E769" w14:textId="77777777" w:rsidR="00EB46EA" w:rsidRPr="005E3C88" w:rsidRDefault="00EB46EA" w:rsidP="00F409FD">
            <w:pPr>
              <w:rPr>
                <w:b/>
                <w:bCs/>
                <w:lang w:val="en-GB"/>
              </w:rPr>
            </w:pPr>
            <w:r w:rsidRPr="005E3C88">
              <w:rPr>
                <w:b/>
                <w:bCs/>
                <w:lang w:val="en-GB"/>
              </w:rPr>
              <w:t xml:space="preserve">Public private partnerships </w:t>
            </w:r>
          </w:p>
        </w:tc>
        <w:tc>
          <w:tcPr>
            <w:tcW w:w="4212" w:type="dxa"/>
            <w:hideMark/>
          </w:tcPr>
          <w:p w14:paraId="05DB635A" w14:textId="77777777" w:rsidR="00EB46EA" w:rsidRPr="005E3C88" w:rsidRDefault="00EB46EA" w:rsidP="00F409FD">
            <w:pPr>
              <w:rPr>
                <w:lang w:val="en-GB"/>
              </w:rPr>
            </w:pPr>
            <w:r w:rsidRPr="005E3C88">
              <w:rPr>
                <w:lang w:val="en-GB"/>
              </w:rPr>
              <w:t xml:space="preserve">PPPS are contractual partnerships of various types between the public and private sectors on discrete projects with revenue- generating potential. PPPs can be of different types, based on the specific terms of contracts (see the section on multi-stakeholder partnerships below for more on PPPs). </w:t>
            </w:r>
          </w:p>
        </w:tc>
        <w:tc>
          <w:tcPr>
            <w:tcW w:w="1883" w:type="dxa"/>
            <w:noWrap/>
            <w:hideMark/>
          </w:tcPr>
          <w:p w14:paraId="4C7F385E" w14:textId="77777777" w:rsidR="00EB46EA" w:rsidRPr="005E3C88" w:rsidRDefault="00EB46EA" w:rsidP="00F409FD">
            <w:pPr>
              <w:rPr>
                <w:lang w:val="en-GB"/>
              </w:rPr>
            </w:pPr>
            <w:r w:rsidRPr="005E3C88">
              <w:rPr>
                <w:lang w:val="en-GB"/>
              </w:rPr>
              <w:t> </w:t>
            </w:r>
          </w:p>
        </w:tc>
        <w:tc>
          <w:tcPr>
            <w:tcW w:w="3123" w:type="dxa"/>
            <w:noWrap/>
            <w:hideMark/>
          </w:tcPr>
          <w:p w14:paraId="47A246FA" w14:textId="77777777" w:rsidR="00EB46EA" w:rsidRPr="005E3C88" w:rsidRDefault="00EB46EA" w:rsidP="00F409FD">
            <w:pPr>
              <w:rPr>
                <w:lang w:val="en-GB"/>
              </w:rPr>
            </w:pPr>
            <w:r w:rsidRPr="005E3C88">
              <w:rPr>
                <w:lang w:val="en-GB"/>
              </w:rPr>
              <w:t> </w:t>
            </w:r>
          </w:p>
        </w:tc>
        <w:tc>
          <w:tcPr>
            <w:tcW w:w="2745" w:type="dxa"/>
            <w:noWrap/>
            <w:hideMark/>
          </w:tcPr>
          <w:p w14:paraId="3789B84B" w14:textId="77777777" w:rsidR="00EB46EA" w:rsidRPr="005E3C88" w:rsidRDefault="00EB46EA" w:rsidP="00F409FD">
            <w:pPr>
              <w:rPr>
                <w:lang w:val="en-GB"/>
              </w:rPr>
            </w:pPr>
            <w:r w:rsidRPr="005E3C88">
              <w:rPr>
                <w:lang w:val="en-GB"/>
              </w:rPr>
              <w:t> </w:t>
            </w:r>
          </w:p>
        </w:tc>
      </w:tr>
      <w:tr w:rsidR="00EB46EA" w:rsidRPr="005051F2" w14:paraId="66D1061A" w14:textId="77777777" w:rsidTr="00F409FD">
        <w:trPr>
          <w:cantSplit/>
          <w:trHeight w:val="1320"/>
        </w:trPr>
        <w:tc>
          <w:tcPr>
            <w:tcW w:w="2171" w:type="dxa"/>
            <w:hideMark/>
          </w:tcPr>
          <w:p w14:paraId="1273DBDD" w14:textId="77777777" w:rsidR="00EB46EA" w:rsidRPr="005E3C88" w:rsidRDefault="00EB46EA" w:rsidP="00F409FD">
            <w:pPr>
              <w:rPr>
                <w:b/>
                <w:bCs/>
                <w:lang w:val="en-GB"/>
              </w:rPr>
            </w:pPr>
            <w:r w:rsidRPr="005E3C88">
              <w:rPr>
                <w:b/>
                <w:bCs/>
                <w:lang w:val="en-GB"/>
              </w:rPr>
              <w:t xml:space="preserve">Grants from international and philanthropic organizations </w:t>
            </w:r>
          </w:p>
        </w:tc>
        <w:tc>
          <w:tcPr>
            <w:tcW w:w="4212" w:type="dxa"/>
            <w:hideMark/>
          </w:tcPr>
          <w:p w14:paraId="01C65BAB" w14:textId="77777777" w:rsidR="00EB46EA" w:rsidRPr="005E3C88" w:rsidRDefault="00EB46EA" w:rsidP="00F409FD">
            <w:pPr>
              <w:rPr>
                <w:lang w:val="en-GB"/>
              </w:rPr>
            </w:pPr>
            <w:r w:rsidRPr="005E3C88">
              <w:rPr>
                <w:lang w:val="en-GB"/>
              </w:rPr>
              <w:t xml:space="preserve">Grants from international organizations and philanthropic foundations fill a vital gap in financing the social aspects of sustainable development, particularly in the sectors of slum redevelopment, health, education, water supply and sanitation, and gender equality. </w:t>
            </w:r>
          </w:p>
        </w:tc>
        <w:tc>
          <w:tcPr>
            <w:tcW w:w="1883" w:type="dxa"/>
            <w:noWrap/>
            <w:hideMark/>
          </w:tcPr>
          <w:p w14:paraId="31B7734F" w14:textId="77777777" w:rsidR="00EB46EA" w:rsidRPr="005E3C88" w:rsidRDefault="00EB46EA" w:rsidP="00F409FD">
            <w:pPr>
              <w:rPr>
                <w:lang w:val="en-GB"/>
              </w:rPr>
            </w:pPr>
            <w:r w:rsidRPr="005E3C88">
              <w:rPr>
                <w:lang w:val="en-GB"/>
              </w:rPr>
              <w:t> </w:t>
            </w:r>
          </w:p>
        </w:tc>
        <w:tc>
          <w:tcPr>
            <w:tcW w:w="3123" w:type="dxa"/>
            <w:noWrap/>
            <w:hideMark/>
          </w:tcPr>
          <w:p w14:paraId="65CF5C6A" w14:textId="77777777" w:rsidR="00EB46EA" w:rsidRPr="005E3C88" w:rsidRDefault="00EB46EA" w:rsidP="00F409FD">
            <w:pPr>
              <w:rPr>
                <w:lang w:val="en-GB"/>
              </w:rPr>
            </w:pPr>
            <w:r w:rsidRPr="005E3C88">
              <w:rPr>
                <w:lang w:val="en-GB"/>
              </w:rPr>
              <w:t> </w:t>
            </w:r>
          </w:p>
        </w:tc>
        <w:tc>
          <w:tcPr>
            <w:tcW w:w="2745" w:type="dxa"/>
            <w:noWrap/>
            <w:hideMark/>
          </w:tcPr>
          <w:p w14:paraId="5F19409F" w14:textId="77777777" w:rsidR="00EB46EA" w:rsidRPr="005E3C88" w:rsidRDefault="00EB46EA" w:rsidP="00F409FD">
            <w:pPr>
              <w:rPr>
                <w:lang w:val="en-GB"/>
              </w:rPr>
            </w:pPr>
            <w:r w:rsidRPr="005E3C88">
              <w:rPr>
                <w:lang w:val="en-GB"/>
              </w:rPr>
              <w:t> </w:t>
            </w:r>
          </w:p>
        </w:tc>
      </w:tr>
      <w:tr w:rsidR="00EB46EA" w:rsidRPr="005051F2" w14:paraId="461138AF" w14:textId="77777777" w:rsidTr="00F409FD">
        <w:trPr>
          <w:cantSplit/>
          <w:trHeight w:val="2376"/>
        </w:trPr>
        <w:tc>
          <w:tcPr>
            <w:tcW w:w="2171" w:type="dxa"/>
            <w:noWrap/>
            <w:hideMark/>
          </w:tcPr>
          <w:p w14:paraId="7BE3F453" w14:textId="77777777" w:rsidR="00EB46EA" w:rsidRPr="005E3C88" w:rsidRDefault="00EB46EA" w:rsidP="00F409FD">
            <w:pPr>
              <w:rPr>
                <w:b/>
                <w:bCs/>
                <w:lang w:val="en-GB"/>
              </w:rPr>
            </w:pPr>
            <w:r w:rsidRPr="005E3C88">
              <w:rPr>
                <w:b/>
                <w:bCs/>
                <w:lang w:val="en-GB"/>
              </w:rPr>
              <w:lastRenderedPageBreak/>
              <w:t xml:space="preserve">Municipal credit markets </w:t>
            </w:r>
          </w:p>
        </w:tc>
        <w:tc>
          <w:tcPr>
            <w:tcW w:w="4212" w:type="dxa"/>
            <w:hideMark/>
          </w:tcPr>
          <w:p w14:paraId="73210F08" w14:textId="77777777" w:rsidR="00EB46EA" w:rsidRPr="005E3C88" w:rsidRDefault="00EB46EA" w:rsidP="00F409FD">
            <w:pPr>
              <w:rPr>
                <w:lang w:val="en-GB"/>
              </w:rPr>
            </w:pPr>
            <w:r w:rsidRPr="005E3C88">
              <w:rPr>
                <w:lang w:val="en-GB"/>
              </w:rPr>
              <w:t>Municipal credit markets allow local governments to access domestic savings and private investments, through intermediary or market mechanisms, to fund long-term, capital-intensive infrastructure projects. Two well-known models of municipal credit markets are the bank-lending model of Western Europe, in which banks act as source of lending for municipal finance, and the municipal bond model used in North America, where local capital finance is raised through bond issuance.</w:t>
            </w:r>
          </w:p>
        </w:tc>
        <w:tc>
          <w:tcPr>
            <w:tcW w:w="1883" w:type="dxa"/>
            <w:noWrap/>
            <w:hideMark/>
          </w:tcPr>
          <w:p w14:paraId="564AA1E9" w14:textId="77777777" w:rsidR="00EB46EA" w:rsidRPr="005E3C88" w:rsidRDefault="00EB46EA" w:rsidP="00F409FD">
            <w:pPr>
              <w:rPr>
                <w:lang w:val="en-GB"/>
              </w:rPr>
            </w:pPr>
            <w:r w:rsidRPr="005E3C88">
              <w:rPr>
                <w:lang w:val="en-GB"/>
              </w:rPr>
              <w:t> </w:t>
            </w:r>
          </w:p>
        </w:tc>
        <w:tc>
          <w:tcPr>
            <w:tcW w:w="3123" w:type="dxa"/>
            <w:noWrap/>
            <w:hideMark/>
          </w:tcPr>
          <w:p w14:paraId="0832592A" w14:textId="77777777" w:rsidR="00EB46EA" w:rsidRPr="005E3C88" w:rsidRDefault="00EB46EA" w:rsidP="00F409FD">
            <w:pPr>
              <w:rPr>
                <w:lang w:val="en-GB"/>
              </w:rPr>
            </w:pPr>
            <w:r w:rsidRPr="005E3C88">
              <w:rPr>
                <w:lang w:val="en-GB"/>
              </w:rPr>
              <w:t> </w:t>
            </w:r>
          </w:p>
        </w:tc>
        <w:tc>
          <w:tcPr>
            <w:tcW w:w="2745" w:type="dxa"/>
            <w:noWrap/>
            <w:hideMark/>
          </w:tcPr>
          <w:p w14:paraId="0E935ADB" w14:textId="77777777" w:rsidR="00EB46EA" w:rsidRPr="005E3C88" w:rsidRDefault="00EB46EA" w:rsidP="00F409FD">
            <w:pPr>
              <w:rPr>
                <w:lang w:val="en-GB"/>
              </w:rPr>
            </w:pPr>
            <w:r w:rsidRPr="005E3C88">
              <w:rPr>
                <w:lang w:val="en-GB"/>
              </w:rPr>
              <w:t> </w:t>
            </w:r>
          </w:p>
        </w:tc>
      </w:tr>
    </w:tbl>
    <w:p w14:paraId="1DB86319" w14:textId="77777777" w:rsidR="00EB46EA" w:rsidRPr="007D2E9E" w:rsidRDefault="00EB46EA" w:rsidP="00EB46EA">
      <w:pPr>
        <w:rPr>
          <w:lang w:val="en-US"/>
        </w:rPr>
      </w:pPr>
    </w:p>
    <w:p w14:paraId="41E82089" w14:textId="0134FC11" w:rsidR="00197662" w:rsidRPr="00EB46EA" w:rsidRDefault="00197662" w:rsidP="00EC43AA">
      <w:pPr>
        <w:jc w:val="center"/>
        <w:rPr>
          <w:b/>
          <w:bCs/>
          <w:sz w:val="28"/>
          <w:szCs w:val="28"/>
          <w:lang w:val="en-US"/>
        </w:rPr>
      </w:pPr>
    </w:p>
    <w:sectPr w:rsidR="00197662" w:rsidRPr="00EB46EA" w:rsidSect="00D14C60">
      <w:headerReference w:type="even" r:id="rId11"/>
      <w:headerReference w:type="default" r:id="rId12"/>
      <w:footerReference w:type="default" r:id="rId13"/>
      <w:headerReference w:type="first" r:id="rId14"/>
      <w:pgSz w:w="16838" w:h="11906" w:orient="landscape" w:code="9"/>
      <w:pgMar w:top="993" w:right="1418" w:bottom="1418" w:left="1276"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639C" w14:textId="77777777" w:rsidR="00111E56" w:rsidRDefault="00111E56" w:rsidP="00E0714A">
      <w:r>
        <w:separator/>
      </w:r>
    </w:p>
  </w:endnote>
  <w:endnote w:type="continuationSeparator" w:id="0">
    <w:p w14:paraId="7D871123" w14:textId="77777777" w:rsidR="00111E56" w:rsidRDefault="00111E5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3760"/>
      <w:gridCol w:w="6410"/>
      <w:gridCol w:w="3974"/>
    </w:tblGrid>
    <w:tr w:rsidR="00703906" w14:paraId="5F091277" w14:textId="77777777" w:rsidTr="000D6C89">
      <w:tc>
        <w:tcPr>
          <w:tcW w:w="1329" w:type="pct"/>
        </w:tcPr>
        <w:p w14:paraId="28CE83D7" w14:textId="499C12AF" w:rsidR="00703906" w:rsidRDefault="00A81D72" w:rsidP="00703906">
          <w:pPr>
            <w:rPr>
              <w:sz w:val="18"/>
              <w:szCs w:val="18"/>
            </w:rPr>
          </w:pPr>
          <w:r>
            <w:rPr>
              <w:sz w:val="18"/>
              <w:szCs w:val="18"/>
            </w:rPr>
            <w:t>As at</w:t>
          </w:r>
          <w:r w:rsidR="00703906">
            <w:rPr>
              <w:sz w:val="18"/>
              <w:szCs w:val="18"/>
            </w:rPr>
            <w:t xml:space="preserve">: </w:t>
          </w:r>
        </w:p>
      </w:tc>
      <w:tc>
        <w:tcPr>
          <w:tcW w:w="2266" w:type="pct"/>
        </w:tcPr>
        <w:p w14:paraId="15A4976A" w14:textId="78DF78AF" w:rsidR="00703906" w:rsidRPr="00A81D72" w:rsidRDefault="00A81D72" w:rsidP="00703906">
          <w:pPr>
            <w:jc w:val="center"/>
            <w:rPr>
              <w:sz w:val="18"/>
              <w:szCs w:val="18"/>
              <w:lang w:val="en-US"/>
            </w:rPr>
          </w:pPr>
          <w:r w:rsidRPr="00043FA4">
            <w:rPr>
              <w:i/>
              <w:iCs/>
              <w:color w:val="808080" w:themeColor="background1" w:themeShade="80"/>
              <w:sz w:val="18"/>
              <w:szCs w:val="18"/>
              <w:lang w:val="en-US"/>
            </w:rPr>
            <w:t xml:space="preserve">[City WORKS Toolkit – Step </w:t>
          </w:r>
          <w:r>
            <w:rPr>
              <w:i/>
              <w:iCs/>
              <w:color w:val="808080" w:themeColor="background1" w:themeShade="80"/>
              <w:sz w:val="18"/>
              <w:szCs w:val="18"/>
              <w:lang w:val="en-US"/>
            </w:rPr>
            <w:t>5</w:t>
          </w:r>
          <w:r w:rsidRPr="00043FA4">
            <w:rPr>
              <w:i/>
              <w:iCs/>
              <w:color w:val="808080" w:themeColor="background1" w:themeShade="80"/>
              <w:sz w:val="18"/>
              <w:szCs w:val="18"/>
              <w:lang w:val="en-US"/>
            </w:rPr>
            <w:t xml:space="preserve">. </w:t>
          </w:r>
          <w:r w:rsidR="002719E2">
            <w:rPr>
              <w:i/>
              <w:iCs/>
              <w:color w:val="808080" w:themeColor="background1" w:themeShade="80"/>
              <w:sz w:val="18"/>
              <w:szCs w:val="18"/>
              <w:lang w:val="en-US"/>
            </w:rPr>
            <w:t>Plan for Action</w:t>
          </w:r>
          <w:r w:rsidRPr="00043FA4">
            <w:rPr>
              <w:i/>
              <w:iCs/>
              <w:color w:val="808080" w:themeColor="background1" w:themeShade="80"/>
              <w:sz w:val="18"/>
              <w:szCs w:val="18"/>
              <w:lang w:val="en-US"/>
            </w:rPr>
            <w:t>]</w:t>
          </w:r>
        </w:p>
      </w:tc>
      <w:tc>
        <w:tcPr>
          <w:tcW w:w="1405" w:type="pct"/>
        </w:tcPr>
        <w:p w14:paraId="66517BD9" w14:textId="6FBB3B7C" w:rsidR="00703906" w:rsidRDefault="00A81D72" w:rsidP="00703906">
          <w:pPr>
            <w:ind w:right="57"/>
            <w:jc w:val="right"/>
            <w:rPr>
              <w:sz w:val="18"/>
              <w:szCs w:val="18"/>
            </w:rPr>
          </w:pPr>
          <w:proofErr w:type="spellStart"/>
          <w:r>
            <w:rPr>
              <w:sz w:val="18"/>
              <w:szCs w:val="18"/>
            </w:rPr>
            <w:t>page</w:t>
          </w:r>
          <w:proofErr w:type="spellEnd"/>
          <w:r w:rsidR="00703906">
            <w:rPr>
              <w:sz w:val="18"/>
              <w:szCs w:val="18"/>
            </w:rPr>
            <w:t xml:space="preserve"> </w:t>
          </w:r>
          <w:r w:rsidR="00703906">
            <w:rPr>
              <w:sz w:val="18"/>
              <w:szCs w:val="18"/>
            </w:rPr>
            <w:fldChar w:fldCharType="begin"/>
          </w:r>
          <w:r w:rsidR="00703906">
            <w:rPr>
              <w:sz w:val="18"/>
              <w:szCs w:val="18"/>
            </w:rPr>
            <w:instrText xml:space="preserve"> PAGE  </w:instrText>
          </w:r>
          <w:r w:rsidR="00703906">
            <w:rPr>
              <w:sz w:val="18"/>
              <w:szCs w:val="18"/>
            </w:rPr>
            <w:fldChar w:fldCharType="separate"/>
          </w:r>
          <w:r w:rsidR="003E5CAF">
            <w:rPr>
              <w:noProof/>
              <w:sz w:val="18"/>
              <w:szCs w:val="18"/>
            </w:rPr>
            <w:t>1</w:t>
          </w:r>
          <w:r w:rsidR="00703906">
            <w:rPr>
              <w:sz w:val="18"/>
              <w:szCs w:val="18"/>
            </w:rPr>
            <w:fldChar w:fldCharType="end"/>
          </w:r>
        </w:p>
      </w:tc>
    </w:tr>
  </w:tbl>
  <w:p w14:paraId="7A1648E0"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BDEC" w14:textId="77777777" w:rsidR="00111E56" w:rsidRDefault="00111E56" w:rsidP="00E0714A">
      <w:r>
        <w:separator/>
      </w:r>
    </w:p>
  </w:footnote>
  <w:footnote w:type="continuationSeparator" w:id="0">
    <w:p w14:paraId="6BE0ED02" w14:textId="77777777" w:rsidR="00111E56" w:rsidRDefault="00111E56"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75F3" w14:textId="3392B50C" w:rsidR="00512F15" w:rsidRDefault="00EB46EA">
    <w:pPr>
      <w:pStyle w:val="Kopfzeile"/>
    </w:pPr>
    <w:r>
      <w:rPr>
        <w:noProof/>
      </w:rPr>
      <w:pict w14:anchorId="1E38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14719" o:spid="_x0000_s14338" type="#_x0000_t75" style="position:absolute;margin-left:0;margin-top:0;width:661.15pt;height:664.15pt;z-index:-251657216;mso-position-horizontal:center;mso-position-horizontal-relative:margin;mso-position-vertical:center;mso-position-vertical-relative:margin" o:allowincell="f">
          <v:imagedata r:id="rId1" o:title="City WORKS_KeyVisual_weißerHintergr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F651" w14:textId="716968E6" w:rsidR="00512F15" w:rsidRDefault="00EB46EA">
    <w:pPr>
      <w:pStyle w:val="Kopfzeile"/>
    </w:pPr>
    <w:r>
      <w:rPr>
        <w:noProof/>
      </w:rPr>
      <w:pict w14:anchorId="73EA3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14720" o:spid="_x0000_s14339" type="#_x0000_t75" style="position:absolute;margin-left:0;margin-top:0;width:661.15pt;height:664.15pt;z-index:-251656192;mso-position-horizontal:center;mso-position-horizontal-relative:margin;mso-position-vertical:center;mso-position-vertical-relative:margin" o:allowincell="f">
          <v:imagedata r:id="rId1" o:title="City WORKS_KeyVisual_weißerHintergr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36A3" w14:textId="69458E97" w:rsidR="00512F15" w:rsidRDefault="00EB46EA">
    <w:pPr>
      <w:pStyle w:val="Kopfzeile"/>
    </w:pPr>
    <w:r>
      <w:rPr>
        <w:noProof/>
      </w:rPr>
      <w:pict w14:anchorId="2C7C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14718" o:spid="_x0000_s14337" type="#_x0000_t75" style="position:absolute;margin-left:0;margin-top:0;width:661.15pt;height:664.15pt;z-index:-251658240;mso-position-horizontal:center;mso-position-horizontal-relative:margin;mso-position-vertical:center;mso-position-vertical-relative:margin" o:allowincell="f">
          <v:imagedata r:id="rId1" o:title="City WORKS_KeyVisual_weißerHintergr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C0"/>
    <w:rsid w:val="000345DC"/>
    <w:rsid w:val="00083378"/>
    <w:rsid w:val="00103EFF"/>
    <w:rsid w:val="00111E56"/>
    <w:rsid w:val="00173D5B"/>
    <w:rsid w:val="00197662"/>
    <w:rsid w:val="00267325"/>
    <w:rsid w:val="002719E2"/>
    <w:rsid w:val="00370FB1"/>
    <w:rsid w:val="003B306D"/>
    <w:rsid w:val="003E29DA"/>
    <w:rsid w:val="003E5CAF"/>
    <w:rsid w:val="00512F15"/>
    <w:rsid w:val="0057463E"/>
    <w:rsid w:val="00676462"/>
    <w:rsid w:val="00681AE3"/>
    <w:rsid w:val="00703906"/>
    <w:rsid w:val="00772E05"/>
    <w:rsid w:val="00777255"/>
    <w:rsid w:val="0080748B"/>
    <w:rsid w:val="00810173"/>
    <w:rsid w:val="008237D6"/>
    <w:rsid w:val="009673CE"/>
    <w:rsid w:val="00A43417"/>
    <w:rsid w:val="00A81D72"/>
    <w:rsid w:val="00AF15A0"/>
    <w:rsid w:val="00BC4215"/>
    <w:rsid w:val="00C34DC0"/>
    <w:rsid w:val="00CC3960"/>
    <w:rsid w:val="00D14C60"/>
    <w:rsid w:val="00D63315"/>
    <w:rsid w:val="00DB2AB5"/>
    <w:rsid w:val="00E0714A"/>
    <w:rsid w:val="00E47D55"/>
    <w:rsid w:val="00EB46EA"/>
    <w:rsid w:val="00EC43AA"/>
    <w:rsid w:val="00F30AA3"/>
    <w:rsid w:val="00F67D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0D7F7E03"/>
  <w15:chartTrackingRefBased/>
  <w15:docId w15:val="{CE4B2B4D-F075-4F39-948D-87F1039D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34DC0"/>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character" w:styleId="Platzhaltertext">
    <w:name w:val="Placeholder Text"/>
    <w:basedOn w:val="Absatz-Standardschriftart"/>
    <w:uiPriority w:val="99"/>
    <w:semiHidden/>
    <w:rsid w:val="00D63315"/>
    <w:rPr>
      <w:color w:val="808080"/>
    </w:rPr>
  </w:style>
  <w:style w:type="character" w:styleId="Hyperlink">
    <w:name w:val="Hyperlink"/>
    <w:basedOn w:val="Absatz-Standardschriftart"/>
    <w:uiPriority w:val="99"/>
    <w:unhideWhenUsed/>
    <w:rsid w:val="00EB4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rp-cdn.multiscreensite.com/6f2c9f57/files/uploaded/Cities-SDG-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64FBD36AC4C1580239D2B8D4957F0"/>
        <w:category>
          <w:name w:val="Allgemein"/>
          <w:gallery w:val="placeholder"/>
        </w:category>
        <w:types>
          <w:type w:val="bbPlcHdr"/>
        </w:types>
        <w:behaviors>
          <w:behavior w:val="content"/>
        </w:behaviors>
        <w:guid w:val="{62305D2B-7912-42CB-8557-DE260465CD91}"/>
      </w:docPartPr>
      <w:docPartBody>
        <w:p w:rsidR="00000000" w:rsidRDefault="001B50BD" w:rsidP="001B50BD">
          <w:pPr>
            <w:pStyle w:val="99C64FBD36AC4C1580239D2B8D4957F0"/>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4A"/>
    <w:rsid w:val="00017C0F"/>
    <w:rsid w:val="0013193F"/>
    <w:rsid w:val="001B50BD"/>
    <w:rsid w:val="00211DA4"/>
    <w:rsid w:val="003134B4"/>
    <w:rsid w:val="007C7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50BD"/>
    <w:rPr>
      <w:color w:val="808080"/>
    </w:rPr>
  </w:style>
  <w:style w:type="paragraph" w:customStyle="1" w:styleId="241A9BC713DE4FA4ABBB3988960673A5">
    <w:name w:val="241A9BC713DE4FA4ABBB3988960673A5"/>
    <w:rsid w:val="007C7B4A"/>
  </w:style>
  <w:style w:type="paragraph" w:customStyle="1" w:styleId="C6E76476B30D4B37981F2AB39CED6B29">
    <w:name w:val="C6E76476B30D4B37981F2AB39CED6B29"/>
    <w:rsid w:val="00017C0F"/>
  </w:style>
  <w:style w:type="paragraph" w:customStyle="1" w:styleId="F4411F1A89C64798AD18852DF2BAEC7A">
    <w:name w:val="F4411F1A89C64798AD18852DF2BAEC7A"/>
    <w:rsid w:val="0013193F"/>
  </w:style>
  <w:style w:type="paragraph" w:customStyle="1" w:styleId="2FE70C5A03D14A28B3B1186AA388D4B2">
    <w:name w:val="2FE70C5A03D14A28B3B1186AA388D4B2"/>
    <w:rsid w:val="0013193F"/>
    <w:pPr>
      <w:spacing w:after="0" w:line="240" w:lineRule="auto"/>
    </w:pPr>
    <w:rPr>
      <w:rFonts w:ascii="Arial" w:eastAsiaTheme="minorHAnsi" w:hAnsi="Arial"/>
      <w:lang w:eastAsia="en-US"/>
    </w:rPr>
  </w:style>
  <w:style w:type="paragraph" w:customStyle="1" w:styleId="B4CDEFA8B4D0450089D857AF264A818A">
    <w:name w:val="B4CDEFA8B4D0450089D857AF264A818A"/>
    <w:rsid w:val="0013193F"/>
  </w:style>
  <w:style w:type="paragraph" w:customStyle="1" w:styleId="ACC8D9D127FA410E8C261C554529BB17">
    <w:name w:val="ACC8D9D127FA410E8C261C554529BB17"/>
    <w:rsid w:val="0013193F"/>
  </w:style>
  <w:style w:type="paragraph" w:customStyle="1" w:styleId="35AD9BC4130348E083B9749D7546CB57">
    <w:name w:val="35AD9BC4130348E083B9749D7546CB57"/>
    <w:rsid w:val="0013193F"/>
  </w:style>
  <w:style w:type="paragraph" w:customStyle="1" w:styleId="A3C4E74BF90E4BC09EFFACBE54A8EAD2">
    <w:name w:val="A3C4E74BF90E4BC09EFFACBE54A8EAD2"/>
    <w:rsid w:val="0013193F"/>
  </w:style>
  <w:style w:type="paragraph" w:customStyle="1" w:styleId="99C64FBD36AC4C1580239D2B8D4957F0">
    <w:name w:val="99C64FBD36AC4C1580239D2B8D4957F0"/>
    <w:rsid w:val="001B5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1" ma:contentTypeDescription="Ein neues Dokument erstellen." ma:contentTypeScope="" ma:versionID="fb3dba1f721118fc4d8b9f34a85e7695">
  <xsd:schema xmlns:xsd="http://www.w3.org/2001/XMLSchema" xmlns:xs="http://www.w3.org/2001/XMLSchema" xmlns:p="http://schemas.microsoft.com/office/2006/metadata/properties" xmlns:ns2="dd40f815-c2b0-4806-9729-31780023f806" xmlns:ns3="fa87cbfb-3c94-4ad6-b81a-37318fbcf44e" targetNamespace="http://schemas.microsoft.com/office/2006/metadata/properties" ma:root="true" ma:fieldsID="64527e7407dd203afa4763e33363fbbd" ns2:_="" ns3:_="">
    <xsd:import namespace="dd40f815-c2b0-4806-9729-31780023f806"/>
    <xsd:import namespace="fa87cbfb-3c94-4ad6-b81a-37318fbcf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0367C-C1CE-4734-9A80-B7032E64D2AF}">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dd40f815-c2b0-4806-9729-31780023f806"/>
    <ds:schemaRef ds:uri="fa87cbfb-3c94-4ad6-b81a-37318fbcf44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88234D-89B0-492E-BFB9-500F39FC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8CA20-AFDA-4430-ADE0-07965E337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3166</Characters>
  <Application>Microsoft Office Word</Application>
  <DocSecurity>0</DocSecurity>
  <Lines>1583</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Pohl</dc:creator>
  <cp:keywords/>
  <dc:description/>
  <cp:lastModifiedBy>Johanna Pohl</cp:lastModifiedBy>
  <cp:revision>3</cp:revision>
  <dcterms:created xsi:type="dcterms:W3CDTF">2020-11-06T15:44:00Z</dcterms:created>
  <dcterms:modified xsi:type="dcterms:W3CDTF">2020-11-06T15:45:00Z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ies>
</file>